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MicrosoftYaHei" w:hAnsi="MicrosoftYaHei"/>
          <w:color w:val="000000"/>
          <w:sz w:val="44"/>
          <w:szCs w:val="44"/>
        </w:rPr>
      </w:pPr>
    </w:p>
    <w:p>
      <w:pPr>
        <w:jc w:val="center"/>
        <w:rPr>
          <w:rFonts w:hint="eastAsia" w:ascii="MicrosoftYaHei" w:hAnsi="MicrosoftYaHei"/>
          <w:color w:val="000000"/>
          <w:sz w:val="44"/>
          <w:szCs w:val="44"/>
        </w:rPr>
      </w:pPr>
    </w:p>
    <w:p>
      <w:pPr>
        <w:jc w:val="center"/>
        <w:rPr>
          <w:rFonts w:hint="eastAsia" w:ascii="MicrosoftYaHei" w:hAnsi="MicrosoftYaHei"/>
          <w:color w:val="000000"/>
          <w:sz w:val="44"/>
          <w:szCs w:val="44"/>
        </w:rPr>
      </w:pPr>
    </w:p>
    <w:p>
      <w:pPr>
        <w:jc w:val="center"/>
        <w:rPr>
          <w:rFonts w:hint="eastAsia" w:ascii="MicrosoftYaHei" w:hAnsi="MicrosoftYaHei"/>
          <w:color w:val="000000"/>
          <w:sz w:val="44"/>
          <w:szCs w:val="44"/>
        </w:rPr>
      </w:pPr>
    </w:p>
    <w:p>
      <w:pPr>
        <w:jc w:val="center"/>
        <w:rPr>
          <w:rStyle w:val="25"/>
          <w:rFonts w:hint="default"/>
          <w:b/>
          <w:sz w:val="52"/>
          <w:szCs w:val="52"/>
        </w:rPr>
      </w:pPr>
      <w:r>
        <w:rPr>
          <w:rFonts w:hint="eastAsia" w:ascii="MicrosoftYaHei" w:hAnsi="MicrosoftYaHei"/>
          <w:color w:val="000000"/>
          <w:sz w:val="52"/>
          <w:szCs w:val="52"/>
        </w:rPr>
        <w:t>陕西省</w:t>
      </w:r>
      <w:r>
        <w:rPr>
          <w:rFonts w:ascii="MicrosoftYaHei" w:hAnsi="MicrosoftYaHei"/>
          <w:color w:val="000000"/>
          <w:sz w:val="52"/>
          <w:szCs w:val="52"/>
        </w:rPr>
        <w:t>住房</w:t>
      </w:r>
      <w:r>
        <w:rPr>
          <w:rFonts w:hint="eastAsia" w:ascii="MicrosoftYaHei" w:hAnsi="MicrosoftYaHei"/>
          <w:color w:val="000000"/>
          <w:sz w:val="52"/>
          <w:szCs w:val="52"/>
          <w:lang w:eastAsia="zh-CN"/>
        </w:rPr>
        <w:t>资金管理中心</w:t>
      </w:r>
      <w:r>
        <w:rPr>
          <w:rFonts w:ascii="MicrosoftYaHei" w:hAnsi="MicrosoftYaHei"/>
          <w:color w:val="000000"/>
          <w:sz w:val="52"/>
          <w:szCs w:val="52"/>
        </w:rPr>
        <w:br/>
      </w:r>
      <w:r>
        <w:rPr>
          <w:rFonts w:ascii="MicrosoftYaHei" w:hAnsi="MicrosoftYaHei"/>
          <w:color w:val="000000"/>
          <w:sz w:val="52"/>
          <w:szCs w:val="52"/>
        </w:rPr>
        <w:t>单位网厅操作手册</w:t>
      </w: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2"/>
          <w:szCs w:val="32"/>
        </w:rPr>
      </w:pPr>
    </w:p>
    <w:p>
      <w:pPr>
        <w:jc w:val="center"/>
        <w:rPr>
          <w:rStyle w:val="25"/>
          <w:rFonts w:hint="default"/>
          <w:b/>
          <w:sz w:val="36"/>
          <w:szCs w:val="36"/>
        </w:rPr>
      </w:pPr>
      <w:r>
        <w:rPr>
          <w:rFonts w:ascii="MicrosoftYaHei" w:hAnsi="MicrosoftYaHei"/>
          <w:color w:val="000000"/>
          <w:sz w:val="36"/>
          <w:szCs w:val="36"/>
        </w:rPr>
        <w:br/>
      </w:r>
      <w:r>
        <w:rPr>
          <w:rFonts w:ascii="MicrosoftYaHei" w:hAnsi="MicrosoftYaHei"/>
          <w:color w:val="000000"/>
          <w:sz w:val="36"/>
          <w:szCs w:val="36"/>
        </w:rPr>
        <w:t>202</w:t>
      </w:r>
      <w:r>
        <w:rPr>
          <w:rFonts w:hint="eastAsia" w:ascii="MicrosoftYaHei" w:hAnsi="MicrosoftYaHei"/>
          <w:color w:val="000000"/>
          <w:sz w:val="36"/>
          <w:szCs w:val="36"/>
        </w:rPr>
        <w:t>1</w:t>
      </w:r>
      <w:r>
        <w:rPr>
          <w:rFonts w:ascii="MicrosoftYaHei" w:hAnsi="MicrosoftYaHei"/>
          <w:color w:val="000000"/>
          <w:sz w:val="36"/>
          <w:szCs w:val="36"/>
        </w:rPr>
        <w:t>年</w:t>
      </w:r>
      <w:r>
        <w:rPr>
          <w:rFonts w:hint="eastAsia" w:ascii="MicrosoftYaHei" w:hAnsi="MicrosoftYaHei"/>
          <w:color w:val="000000"/>
          <w:sz w:val="36"/>
          <w:szCs w:val="36"/>
          <w:lang w:val="en-US" w:eastAsia="zh-CN"/>
        </w:rPr>
        <w:t>9</w:t>
      </w:r>
      <w:r>
        <w:rPr>
          <w:rFonts w:ascii="MicrosoftYaHei" w:hAnsi="MicrosoftYaHei"/>
          <w:color w:val="000000"/>
          <w:sz w:val="36"/>
          <w:szCs w:val="36"/>
        </w:rPr>
        <w:t>月</w:t>
      </w:r>
    </w:p>
    <w:p>
      <w:pPr>
        <w:rPr>
          <w:rStyle w:val="25"/>
          <w:rFonts w:hint="default"/>
          <w:b/>
          <w:sz w:val="32"/>
          <w:szCs w:val="32"/>
        </w:rPr>
      </w:pPr>
    </w:p>
    <w:p>
      <w:pPr>
        <w:rPr>
          <w:rStyle w:val="25"/>
          <w:rFonts w:hint="default"/>
          <w:b/>
          <w:sz w:val="32"/>
          <w:szCs w:val="32"/>
        </w:rPr>
      </w:pPr>
    </w:p>
    <w:p>
      <w:pPr>
        <w:pStyle w:val="15"/>
        <w:tabs>
          <w:tab w:val="right" w:leader="dot" w:pos="8306"/>
        </w:tabs>
        <w:rPr>
          <w:rStyle w:val="25"/>
          <w:rFonts w:hint="eastAsia" w:ascii="Calibri" w:hAnsi="Calibri" w:eastAsia="宋体"/>
          <w:color w:val="auto"/>
          <w:sz w:val="32"/>
          <w:szCs w:val="32"/>
          <w:lang w:eastAsia="zh-CN"/>
        </w:rPr>
      </w:pPr>
      <w:r>
        <w:rPr>
          <w:rStyle w:val="25"/>
          <w:rFonts w:hint="eastAsia"/>
          <w:color w:val="auto"/>
          <w:sz w:val="32"/>
          <w:szCs w:val="32"/>
          <w:lang w:eastAsia="zh-CN"/>
        </w:rPr>
        <w:t>目录</w:t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Style w:val="25"/>
          <w:rFonts w:hint="default" w:ascii="Calibri" w:hAnsi="Calibri" w:eastAsia="宋体"/>
          <w:color w:val="auto"/>
          <w:sz w:val="28"/>
          <w:szCs w:val="28"/>
        </w:rPr>
        <w:fldChar w:fldCharType="begin"/>
      </w:r>
      <w:r>
        <w:rPr>
          <w:rStyle w:val="25"/>
          <w:rFonts w:hint="default" w:ascii="Calibri" w:hAnsi="Calibri" w:eastAsia="宋体"/>
          <w:color w:val="auto"/>
          <w:sz w:val="28"/>
          <w:szCs w:val="28"/>
        </w:rPr>
        <w:instrText xml:space="preserve">TOC \o "1-3" \h \u </w:instrText>
      </w:r>
      <w:r>
        <w:rPr>
          <w:rStyle w:val="25"/>
          <w:rFonts w:hint="default" w:ascii="Calibri" w:hAnsi="Calibri" w:eastAsia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instrText xml:space="preserve"> HYPERLINK \l _Toc21686 </w:instrTex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1登录及密码修改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_Toc21686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_Toc20305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1.1网厅登录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_Toc20305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_Toc1545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1.2密码修改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_Toc1545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_Toc9015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2网厅首页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_Toc9015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_Toc10459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2.1 网厅首页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_Toc10459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_Toc23769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3个人开户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_Toc23769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_Toc7376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3.1 个人开户（单笔）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_Toc7376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_Toc2316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3.2 个人开户（批量）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_Toc2316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_Toc16415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3.3 开户查询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_Toc16415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11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_Toc26364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4个人账户查询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_Toc26364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_Toc4057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4.1 个人明细账查询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_Toc4057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_Toc30684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4.2 个人账户信息查询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_Toc30684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13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_Toc10036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4.3 年度个人对账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_Toc10036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14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_Toc30071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5个人信息修改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_Toc30071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15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_Toc32383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5.1 个人信息修改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_Toc32383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15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_Toc11748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5.2 客户信息修改记录查询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_Toc11748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_Toc3690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6单位信息修改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_Toc3690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_Toc30245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6.1 单位信息修改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_Toc30245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_Toc25279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6.2 单位信息修改查询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_Toc25279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17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_Toc12927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7 单位账户查询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_Toc12927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_Toc16328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7.1 单位基本信息查询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_Toc16328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_Toc10950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7.2 单位明细查询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_Toc10950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_Toc22509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7.3 汇补缴不符暂存款查询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_Toc22509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19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_Toc20993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8 个人账户合并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_Toc20993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_Toc15195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8.1 个人账户合并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_Toc15195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_Toc9216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8.2 个人账户合并查询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_Toc9216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21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_Toc14759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9 个人账户封存启封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_Toc14759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_Toc4322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9.1个人账户封存（单笔）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_Toc4322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_Toc28110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9.2个人账户封存（批量）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_Toc28110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23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_Toc28067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9.3个人账户启封（单笔）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_Toc28067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24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_Toc12040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9.4个人账户启封（批量）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_Toc12040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_Toc23071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9.5封存启封查询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_Toc23071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27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_Toc13627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10 内部转移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_Toc13627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_Toc20529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10.1个人账户转入（单笔）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_Toc20529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_Toc30237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10.2个人账户转入（批量）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_Toc30237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_Toc27869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10.3转移查询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_Toc27869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31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_Toc10305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11年度核定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_Toc10305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_Toc19358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11.1 年度核定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_Toc19358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_Toc925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11.2年度核定查询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_Toc925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33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_Toc19791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12 汇缴核定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_Toc19791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34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_Toc21335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12.1汇缴核定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_Toc21335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34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_Toc12116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12.2汇缴查询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_Toc12116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35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_Toc19156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13 补缴核定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_Toc19156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_Toc15579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13.1补缴核定（单笔）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_Toc15579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_Toc24671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13.2补缴核定（批量）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_Toc24671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_Toc29562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13.3补缴查询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_Toc29562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38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_Toc16865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14 缴存办理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_Toc16865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39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_Toc32120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14.1取消核定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_Toc32120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39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_Toc23679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15 交易进度查询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_Toc23679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_Toc14198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15.1交易进度查询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_Toc14198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40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_Toc30241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16 交易结果查询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_Toc30241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41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_Toc25691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16.1交易结果查询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_Toc25691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41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_Toc4140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17 咨询建议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_Toc4140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8"/>
        <w:tabs>
          <w:tab w:val="right" w:leader="dot" w:pos="8306"/>
        </w:tabs>
        <w:spacing w:line="360" w:lineRule="auto"/>
        <w:rPr>
          <w:rFonts w:ascii="Calibri" w:hAnsi="Calibri" w:eastAsia="宋体" w:cs="Times New Roman"/>
          <w:kern w:val="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instrText xml:space="preserve"> HYPERLINK \l _Toc2480 </w:instrText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17.1咨询建议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instrText xml:space="preserve"> PAGEREF _Toc2480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fldChar w:fldCharType="end"/>
      </w:r>
    </w:p>
    <w:p>
      <w:pPr>
        <w:outlineLvl w:val="9"/>
        <w:rPr>
          <w:rFonts w:hint="default" w:ascii="Calibri" w:hAnsi="Calibri" w:eastAsia="宋体"/>
          <w:bCs w:val="0"/>
          <w:i w:val="0"/>
          <w:i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 w:cs="Times New Roman"/>
          <w:bCs w:val="0"/>
          <w:i w:val="0"/>
          <w:iCs w:val="0"/>
          <w:color w:val="auto"/>
          <w:kern w:val="2"/>
          <w:szCs w:val="28"/>
          <w:lang w:val="en-US" w:eastAsia="zh-CN" w:bidi="ar-SA"/>
        </w:rPr>
        <w:fldChar w:fldCharType="end"/>
      </w:r>
      <w:bookmarkStart w:id="0" w:name="_Toc19550"/>
    </w:p>
    <w:p>
      <w:pPr>
        <w:outlineLvl w:val="9"/>
        <w:rPr>
          <w:rFonts w:hint="default" w:ascii="Calibri" w:hAnsi="Calibri" w:eastAsia="宋体"/>
          <w:bCs w:val="0"/>
          <w:i w:val="0"/>
          <w:iCs w:val="0"/>
          <w:color w:val="auto"/>
          <w:kern w:val="2"/>
          <w:szCs w:val="22"/>
          <w:lang w:val="en-US" w:eastAsia="zh-CN" w:bidi="ar-SA"/>
        </w:rPr>
      </w:pPr>
    </w:p>
    <w:p>
      <w:pPr>
        <w:outlineLvl w:val="9"/>
        <w:rPr>
          <w:rFonts w:hint="default" w:ascii="Calibri" w:hAnsi="Calibri" w:eastAsia="宋体"/>
          <w:bCs w:val="0"/>
          <w:i w:val="0"/>
          <w:iCs w:val="0"/>
          <w:color w:val="auto"/>
          <w:kern w:val="2"/>
          <w:szCs w:val="22"/>
          <w:lang w:val="en-US" w:eastAsia="zh-CN" w:bidi="ar-SA"/>
        </w:rPr>
      </w:pPr>
    </w:p>
    <w:p>
      <w:pPr>
        <w:outlineLvl w:val="9"/>
        <w:rPr>
          <w:rFonts w:hint="default" w:ascii="Calibri" w:hAnsi="Calibri" w:eastAsia="宋体"/>
          <w:bCs w:val="0"/>
          <w:i w:val="0"/>
          <w:iCs w:val="0"/>
          <w:color w:val="auto"/>
          <w:kern w:val="2"/>
          <w:szCs w:val="22"/>
          <w:lang w:val="en-US" w:eastAsia="zh-CN" w:bidi="ar-SA"/>
        </w:rPr>
      </w:pPr>
    </w:p>
    <w:p>
      <w:pPr>
        <w:pStyle w:val="2"/>
      </w:pPr>
      <w:bookmarkStart w:id="1" w:name="_Toc21686"/>
      <w:bookmarkStart w:id="2" w:name="_Toc25895"/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登录及</w:t>
      </w:r>
      <w:r>
        <w:rPr>
          <w:rFonts w:hint="default"/>
        </w:rPr>
        <w:t>密码修改</w:t>
      </w:r>
      <w:bookmarkEnd w:id="1"/>
      <w:bookmarkEnd w:id="2"/>
    </w:p>
    <w:p>
      <w:pPr>
        <w:pStyle w:val="3"/>
        <w:rPr>
          <w:rFonts w:hint="eastAsia"/>
          <w:lang w:eastAsia="zh-CN"/>
        </w:rPr>
      </w:pPr>
      <w:bookmarkStart w:id="3" w:name="_Toc20305"/>
      <w:bookmarkStart w:id="4" w:name="_Toc25469"/>
      <w:r>
        <w:rPr>
          <w:rFonts w:hint="eastAsia"/>
          <w:lang w:val="en-US" w:eastAsia="zh-CN"/>
        </w:rPr>
        <w:t>1</w:t>
      </w:r>
      <w:r>
        <w:rPr>
          <w:rFonts w:hint="default"/>
        </w:rPr>
        <w:t>.1</w:t>
      </w:r>
      <w:r>
        <w:rPr>
          <w:rFonts w:hint="eastAsia"/>
          <w:lang w:eastAsia="zh-CN"/>
        </w:rPr>
        <w:t>网厅登录</w:t>
      </w:r>
      <w:bookmarkEnd w:id="3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1.1.1</w:t>
      </w:r>
      <w:r>
        <w:rPr>
          <w:rFonts w:hint="default"/>
          <w:sz w:val="30"/>
          <w:szCs w:val="30"/>
          <w:lang w:val="en-US" w:eastAsia="zh-CN"/>
        </w:rPr>
        <w:t>功能介绍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>登录单位网厅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2输入项说明</w:t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单位账号、单位名称、经办人姓名、经办人证件号码、经办人手机号码、验证码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3业务规则</w:t>
      </w:r>
    </w:p>
    <w:p>
      <w:pPr>
        <w:ind w:left="630" w:leftChars="100" w:hanging="420" w:hangingChars="150"/>
        <w:rPr>
          <w:rFonts w:ascii="宋体" w:hAnsi="宋体" w:eastAsia="宋体"/>
          <w:color w:val="000000"/>
          <w:sz w:val="28"/>
          <w:szCs w:val="28"/>
        </w:rPr>
      </w:pPr>
      <w:r>
        <w:rPr>
          <w:rStyle w:val="25"/>
          <w:rFonts w:hint="default"/>
        </w:rPr>
        <w:t xml:space="preserve">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  <w:r>
        <w:rPr>
          <w:rStyle w:val="25"/>
          <w:rFonts w:hint="default"/>
        </w:rPr>
        <w:t xml:space="preserve"> 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4操作流程详解</w:t>
      </w:r>
    </w:p>
    <w:p>
      <w:pPr>
        <w:ind w:firstLine="560" w:firstLineChars="200"/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进入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登录界面，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输入单位及经办人相关信息，点击登录</w:t>
      </w:r>
    </w:p>
    <w:p>
      <w:pPr>
        <w:jc w:val="center"/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pict>
          <v:shape id="图片 107" o:spid="_x0000_s1026" type="#_x0000_t75" style="height:167.95pt;width:277.9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1632387519(1)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</w:rPr>
      </w:pPr>
      <w:bookmarkStart w:id="5" w:name="_Toc1545"/>
      <w:r>
        <w:rPr>
          <w:rFonts w:hint="eastAsia"/>
          <w:lang w:val="en-US" w:eastAsia="zh-CN"/>
        </w:rPr>
        <w:t>1.2</w:t>
      </w:r>
      <w:r>
        <w:rPr>
          <w:rFonts w:hint="eastAsia"/>
          <w:lang w:eastAsia="zh-CN"/>
        </w:rPr>
        <w:t>密码修改</w:t>
      </w:r>
      <w:bookmarkEnd w:id="5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1.2.1</w:t>
      </w:r>
      <w:r>
        <w:rPr>
          <w:rFonts w:hint="default"/>
          <w:sz w:val="30"/>
          <w:szCs w:val="30"/>
          <w:lang w:val="en-US" w:eastAsia="zh-CN"/>
        </w:rPr>
        <w:t>功能介绍</w:t>
      </w:r>
      <w:bookmarkEnd w:id="4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t>忘记密码或需要重置初始密码的，单位经办人可以在登录界面点击忘记密码按钮进行重置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6" w:name="_Toc16222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2.</w:t>
      </w:r>
      <w:r>
        <w:rPr>
          <w:rFonts w:hint="default"/>
          <w:sz w:val="30"/>
          <w:szCs w:val="30"/>
          <w:lang w:val="en-US" w:eastAsia="zh-CN"/>
        </w:rPr>
        <w:t>2输入项说明</w:t>
      </w:r>
      <w:bookmarkEnd w:id="6"/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单位账号、单位名称、经办人姓名、经办人证件号码、经办人手机号码、验证码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7" w:name="_Toc24689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2.</w:t>
      </w:r>
      <w:r>
        <w:rPr>
          <w:rFonts w:hint="default"/>
          <w:sz w:val="30"/>
          <w:szCs w:val="30"/>
          <w:lang w:val="en-US" w:eastAsia="zh-CN"/>
        </w:rPr>
        <w:t>3业务规则</w:t>
      </w:r>
      <w:bookmarkEnd w:id="7"/>
    </w:p>
    <w:p>
      <w:pPr>
        <w:ind w:left="630" w:leftChars="100" w:hanging="420" w:hangingChars="150"/>
        <w:rPr>
          <w:rFonts w:ascii="宋体" w:hAnsi="宋体" w:eastAsia="宋体"/>
          <w:color w:val="000000"/>
          <w:sz w:val="28"/>
          <w:szCs w:val="28"/>
        </w:rPr>
      </w:pPr>
      <w:r>
        <w:rPr>
          <w:rStyle w:val="25"/>
          <w:rFonts w:hint="default"/>
        </w:rPr>
        <w:t xml:space="preserve">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  <w:r>
        <w:rPr>
          <w:rStyle w:val="25"/>
          <w:rFonts w:hint="default"/>
        </w:rPr>
        <w:t xml:space="preserve"> 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8" w:name="_Toc2301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2.</w:t>
      </w:r>
      <w:r>
        <w:rPr>
          <w:rFonts w:hint="default"/>
          <w:sz w:val="30"/>
          <w:szCs w:val="30"/>
          <w:lang w:val="en-US" w:eastAsia="zh-CN"/>
        </w:rPr>
        <w:t>4操作流程详解</w:t>
      </w:r>
      <w:bookmarkEnd w:id="8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1.登录界面，点击忘记密码</w:t>
      </w:r>
    </w:p>
    <w:p>
      <w:pPr>
        <w:jc w:val="center"/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4" o:spid="_x0000_s1027" type="#_x0000_t75" style="height:179.95pt;width:278.1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5" w:leftChars="0" w:firstLine="518" w:firstLineChars="185"/>
        <w:rPr>
          <w:rStyle w:val="25"/>
          <w:rFonts w:hint="default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2.进入忘记密码界面，填写带星号的必输项，获取验证码，输入点击下一步</w:t>
      </w:r>
    </w:p>
    <w:p>
      <w:pPr>
        <w:jc w:val="center"/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6" o:spid="_x0000_s1028" type="#_x0000_t75" style="height:183pt;width:281.8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5" w:leftChars="0" w:firstLine="518" w:firstLineChars="185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3.输入新密码，提交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8" o:spid="_x0000_s1029" type="#_x0000_t75" style="height:201.3pt;width:282.1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9" w:name="_Toc9015"/>
      <w:r>
        <w:rPr>
          <w:rFonts w:hint="eastAsia"/>
          <w:lang w:val="en-US" w:eastAsia="zh-CN"/>
        </w:rPr>
        <w:t>2网厅</w:t>
      </w:r>
      <w:r>
        <w:t>首页</w:t>
      </w:r>
      <w:bookmarkEnd w:id="0"/>
      <w:bookmarkEnd w:id="9"/>
    </w:p>
    <w:p>
      <w:pPr>
        <w:pStyle w:val="3"/>
        <w:rPr>
          <w:rFonts w:hint="default"/>
        </w:rPr>
      </w:pPr>
      <w:bookmarkStart w:id="10" w:name="_Toc10459"/>
      <w:bookmarkStart w:id="11" w:name="_Toc22272"/>
      <w:r>
        <w:rPr>
          <w:rFonts w:hint="eastAsia"/>
          <w:lang w:val="en-US" w:eastAsia="zh-CN"/>
        </w:rPr>
        <w:t>2</w:t>
      </w:r>
      <w:r>
        <w:rPr>
          <w:rFonts w:hint="default"/>
        </w:rPr>
        <w:t xml:space="preserve">.1 </w:t>
      </w:r>
      <w:r>
        <w:rPr>
          <w:rFonts w:hint="eastAsia"/>
          <w:lang w:eastAsia="zh-CN"/>
        </w:rPr>
        <w:t>网厅首页</w:t>
      </w:r>
      <w:bookmarkEnd w:id="10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2.1.1</w:t>
      </w:r>
      <w:r>
        <w:rPr>
          <w:rFonts w:hint="default"/>
          <w:sz w:val="30"/>
          <w:szCs w:val="30"/>
          <w:lang w:val="en-US" w:eastAsia="zh-CN"/>
        </w:rPr>
        <w:t>功能介绍</w:t>
      </w:r>
      <w:bookmarkEnd w:id="11"/>
    </w:p>
    <w:p>
      <w:pPr>
        <w:ind w:left="16" w:leftChars="8" w:firstLine="397" w:firstLineChars="142"/>
        <w:rPr>
          <w:rFonts w:hint="default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</w:t>
      </w:r>
      <w:r>
        <w:rPr>
          <w:rFonts w:hint="default"/>
          <w:sz w:val="28"/>
          <w:szCs w:val="28"/>
        </w:rPr>
        <w:t>首页为快捷办理界面，主要包含单位信息的展示与修改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default"/>
          <w:sz w:val="28"/>
          <w:szCs w:val="28"/>
        </w:rPr>
        <w:t>常用</w:t>
      </w:r>
      <w:r>
        <w:rPr>
          <w:rFonts w:hint="eastAsia"/>
          <w:sz w:val="28"/>
          <w:szCs w:val="28"/>
          <w:lang w:eastAsia="zh-CN"/>
        </w:rPr>
        <w:t>功</w:t>
      </w:r>
      <w:r>
        <w:rPr>
          <w:rFonts w:hint="default"/>
          <w:sz w:val="28"/>
          <w:szCs w:val="28"/>
        </w:rPr>
        <w:t>能的自定义添加</w:t>
      </w:r>
      <w:r>
        <w:rPr>
          <w:rFonts w:hint="eastAsia"/>
          <w:sz w:val="28"/>
          <w:szCs w:val="28"/>
          <w:lang w:eastAsia="zh-CN"/>
        </w:rPr>
        <w:t>、职工</w:t>
      </w:r>
      <w:r>
        <w:rPr>
          <w:rFonts w:hint="default"/>
          <w:sz w:val="28"/>
          <w:szCs w:val="28"/>
        </w:rPr>
        <w:t>业务快捷办理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default"/>
          <w:sz w:val="28"/>
          <w:szCs w:val="28"/>
        </w:rPr>
        <w:t>消息中心以及缴存统计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2" w:name="_Toc10414"/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 输入项说明</w:t>
      </w:r>
      <w:bookmarkEnd w:id="12"/>
    </w:p>
    <w:p>
      <w:pPr>
        <w:rPr>
          <w:rStyle w:val="25"/>
          <w:rFonts w:hint="default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3" w:name="_Toc32085"/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 业务规则</w:t>
      </w:r>
      <w:bookmarkEnd w:id="13"/>
    </w:p>
    <w:p>
      <w:pPr>
        <w:rPr>
          <w:rStyle w:val="25"/>
          <w:rFonts w:hint="default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4" w:name="_Toc1787"/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 操作流程详解</w:t>
      </w:r>
      <w:bookmarkEnd w:id="14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4.1 单位信息</w: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/>
          <w:sz w:val="28"/>
          <w:szCs w:val="28"/>
        </w:rPr>
        <w:t>查询单位详细</w:t>
      </w:r>
      <w:r>
        <w:rPr>
          <w:rFonts w:hint="eastAsia"/>
          <w:sz w:val="28"/>
          <w:szCs w:val="28"/>
          <w:lang w:eastAsia="zh-CN"/>
        </w:rPr>
        <w:t>信息或</w:t>
      </w:r>
      <w:r>
        <w:rPr>
          <w:rFonts w:hint="default"/>
          <w:sz w:val="28"/>
          <w:szCs w:val="28"/>
        </w:rPr>
        <w:t>修改单位基本信息</w:t>
      </w:r>
    </w:p>
    <w:p>
      <w:pPr>
        <w:jc w:val="center"/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30" type="#_x0000_t75" style="height:183.15pt;width:382.15pt;rotation:0f;" o:ole="f" fillcolor="#FFFFFF" filled="f" o:preferrelative="t" stroked="t" coordorigin="0,0" coordsize="21600,21600">
            <v:fill on="f" color2="#FFFFFF" focus="0%"/>
            <v:stroke color="#99CCFF" color2="#FFFFFF" miterlimit="2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4.2 常用功能</w:t>
      </w:r>
    </w:p>
    <w:p>
      <w:pPr>
        <w:rPr>
          <w:rStyle w:val="25"/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t>点击添加</w:t>
      </w:r>
      <w:r>
        <w:rPr>
          <w:rFonts w:hint="eastAsia"/>
          <w:sz w:val="28"/>
          <w:szCs w:val="28"/>
          <w:lang w:val="en-US" w:eastAsia="zh-CN"/>
        </w:rPr>
        <w:t>自定义功能或设置按钮</w:t>
      </w:r>
      <w:r>
        <w:rPr>
          <w:rFonts w:hint="default"/>
          <w:sz w:val="28"/>
          <w:szCs w:val="28"/>
          <w:lang w:val="en-US" w:eastAsia="zh-CN"/>
        </w:rPr>
        <w:t>，可添加或删除相应功能按钮</w:t>
      </w:r>
    </w:p>
    <w:p>
      <w:pPr>
        <w:jc w:val="center"/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6" o:spid="_x0000_s1031" type="#_x0000_t75" style="height:182.7pt;width:397.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t>添加</w:t>
      </w:r>
      <w:r>
        <w:rPr>
          <w:rFonts w:hint="eastAsia"/>
          <w:sz w:val="28"/>
          <w:szCs w:val="28"/>
          <w:lang w:val="en-US" w:eastAsia="zh-CN"/>
        </w:rPr>
        <w:t>操作：点击添加自定义功能按钮，选择功能按钮，点击确认</w:t>
      </w:r>
    </w:p>
    <w:p>
      <w:pPr>
        <w:jc w:val="center"/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7" o:spid="_x0000_s1032" type="#_x0000_t75" style="height:207.35pt;width:400.2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删除</w:t>
      </w:r>
      <w:r>
        <w:rPr>
          <w:rFonts w:hint="eastAsia"/>
          <w:sz w:val="28"/>
          <w:szCs w:val="28"/>
          <w:lang w:val="en-US" w:eastAsia="zh-CN"/>
        </w:rPr>
        <w:t>操作：点击设置按钮，点击需删除的功能按钮</w:t>
      </w:r>
    </w:p>
    <w:p>
      <w:pPr>
        <w:jc w:val="center"/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7" o:spid="_x0000_s1033" type="#_x0000_t75" style="height:210.7pt;width:401.2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15" w:name="_Toc24315"/>
      <w:bookmarkStart w:id="16" w:name="_Toc23769"/>
      <w:r>
        <w:rPr>
          <w:rFonts w:hint="eastAsia"/>
        </w:rPr>
        <w:t>3</w:t>
      </w:r>
      <w:r>
        <w:t>个人开户</w:t>
      </w:r>
      <w:bookmarkEnd w:id="15"/>
      <w:bookmarkEnd w:id="16"/>
    </w:p>
    <w:p>
      <w:pPr>
        <w:pStyle w:val="3"/>
        <w:rPr>
          <w:rFonts w:hint="default"/>
        </w:rPr>
      </w:pPr>
      <w:bookmarkStart w:id="17" w:name="_Toc28879"/>
      <w:bookmarkStart w:id="18" w:name="_Toc7376"/>
      <w:r>
        <w:rPr>
          <w:rFonts w:hint="default"/>
        </w:rPr>
        <w:t xml:space="preserve">3.1 </w:t>
      </w:r>
      <w:r>
        <w:rPr>
          <w:rFonts w:hint="eastAsia"/>
          <w:lang w:eastAsia="zh-CN"/>
        </w:rPr>
        <w:t>个人</w:t>
      </w:r>
      <w:r>
        <w:rPr>
          <w:rFonts w:hint="default"/>
        </w:rPr>
        <w:t>开户</w:t>
      </w:r>
      <w:r>
        <w:rPr>
          <w:rFonts w:hint="eastAsia"/>
          <w:lang w:eastAsia="zh-CN"/>
        </w:rPr>
        <w:t>（单笔）</w:t>
      </w:r>
      <w:bookmarkEnd w:id="17"/>
      <w:bookmarkEnd w:id="18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3.1.1 功能介绍</w:t>
      </w:r>
    </w:p>
    <w:p>
      <w:pPr>
        <w:rPr>
          <w:rStyle w:val="25"/>
          <w:rFonts w:hint="default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缴存单位新增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职工开立个人公积金账户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3.1.2 输入项说明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个人姓名、证件号码、缴存基数、手机号码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3.1.3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color w:val="303030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1.使用身份证开户的，可在单位网厅办理；使用非身份证件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开户的，须至中心柜台办理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2.职工若年龄未满16周岁或超过55周岁（女）、60周岁（男），须联系中心，携带补充资料至中心柜台办理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个人开户业务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其他业务规则及注意事项请参照中心公布的业务指南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3.1.4 操作流程详解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路径：个人账户管理-个人开户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1.输入带星号的必输项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点击添加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0" o:spid="_x0000_s1034" type="#_x0000_t75" style="height:157.2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2.在待开户清册中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查看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详细信息，确认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信息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无误后点击全部提交即可完成开户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。若信息异常，点击修改或删除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3" o:spid="_x0000_s1035" type="#_x0000_t75" style="height:139.3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完成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后，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进入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交易进度查询界面，查看业务办理是否成功。若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失败，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可在界面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查看错误信息或下载报错文件</w:t>
      </w:r>
      <w:bookmarkStart w:id="137" w:name="_GoBack"/>
      <w:bookmarkEnd w:id="137"/>
    </w:p>
    <w:p>
      <w:pPr>
        <w:rPr>
          <w:rFonts w:ascii="宋体" w:hAnsi="宋体" w:eastAsia="宋体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2" o:spid="_x0000_s1036" type="#_x0000_t75" style="height:144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4.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开户成功后，可在开户查询界面查看，也可下载开户清册凭证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4" o:spid="_x0000_s1037" type="#_x0000_t75" style="height:172.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</w:rPr>
      </w:pPr>
      <w:bookmarkStart w:id="19" w:name="_Toc14299"/>
      <w:bookmarkStart w:id="20" w:name="_Toc2316"/>
      <w:r>
        <w:rPr>
          <w:rFonts w:hint="default"/>
        </w:rPr>
        <w:t>3.2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个人</w:t>
      </w:r>
      <w:r>
        <w:rPr>
          <w:rFonts w:hint="default"/>
        </w:rPr>
        <w:t>开户</w:t>
      </w:r>
      <w:r>
        <w:rPr>
          <w:rFonts w:hint="eastAsia"/>
          <w:lang w:eastAsia="zh-CN"/>
        </w:rPr>
        <w:t>（批量）</w:t>
      </w:r>
      <w:bookmarkEnd w:id="19"/>
      <w:bookmarkEnd w:id="20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3.2.1 功能介绍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大批量开立职工账户时通过批量导入功能实现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3.2.2 输入项说明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身份证批量开户模板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3.2.3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1.模板必须使用页面提供的身份证批量开户模板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2.模板中数据必须使用文本格式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同个人开户（单笔）业务规则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3.2.4 操作流程详解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路径：个人账户管理-个人开户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1.页面下载身份证批量开户模板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9" o:spid="_x0000_s1038" type="#_x0000_t75" style="height:131.4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2.填写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其中：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红色项为必填项，其他可选填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39" type="#_x0000_t75" style="height:62.7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3.页面点击上传文件，文件上传成功后点击批量导入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5" o:spid="_x0000_s1040" type="#_x0000_t75" style="height:119.6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4.待开户清册中会显示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模板内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数据，核对无误后点击全部提交，完成开户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。若信息异常，点击修改或删除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1" o:spid="_x0000_s1041" type="#_x0000_t75" style="height:15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jc w:val="left"/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5.后续步骤同个人开户（单笔）操作</w:t>
      </w:r>
    </w:p>
    <w:p>
      <w:pPr>
        <w:pStyle w:val="3"/>
        <w:rPr>
          <w:rFonts w:hint="default"/>
        </w:rPr>
      </w:pPr>
      <w:bookmarkStart w:id="21" w:name="_Toc1358"/>
      <w:bookmarkStart w:id="22" w:name="_Toc16415"/>
      <w:r>
        <w:rPr>
          <w:rFonts w:hint="default"/>
        </w:rPr>
        <w:t>3.3 开户查询</w:t>
      </w:r>
      <w:bookmarkEnd w:id="21"/>
      <w:bookmarkEnd w:id="22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.3.1 功能介绍</w: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查询单位职工公积金账户开户情况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.3.2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查询时间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.3.3 业务规则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.3.4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个人账户管理-个人开户-开户查询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1.输入起止日期，点击查询查看信息或下载凭证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5" o:spid="_x0000_s1042" type="#_x0000_t75" style="height:171.9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23" w:name="_Toc11424"/>
      <w:bookmarkStart w:id="24" w:name="_Toc26364"/>
      <w:r>
        <w:rPr>
          <w:rFonts w:hint="eastAsia"/>
        </w:rPr>
        <w:t>4</w:t>
      </w:r>
      <w:r>
        <w:t>个人账户查询</w:t>
      </w:r>
      <w:bookmarkEnd w:id="23"/>
      <w:bookmarkEnd w:id="24"/>
    </w:p>
    <w:p>
      <w:pPr>
        <w:pStyle w:val="3"/>
        <w:rPr>
          <w:rFonts w:hint="default"/>
        </w:rPr>
      </w:pPr>
      <w:bookmarkStart w:id="25" w:name="_Toc30224"/>
      <w:bookmarkStart w:id="26" w:name="_Toc4057"/>
      <w:bookmarkStart w:id="27" w:name="_Toc24921"/>
      <w:r>
        <w:rPr>
          <w:rFonts w:hint="eastAsia"/>
        </w:rPr>
        <w:t>4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default"/>
        </w:rPr>
        <w:t xml:space="preserve"> 个人明细</w:t>
      </w:r>
      <w:r>
        <w:rPr>
          <w:rFonts w:hint="eastAsia"/>
          <w:lang w:eastAsia="zh-CN"/>
        </w:rPr>
        <w:t>账</w:t>
      </w:r>
      <w:r>
        <w:rPr>
          <w:rFonts w:hint="default"/>
        </w:rPr>
        <w:t>查询</w:t>
      </w:r>
      <w:bookmarkEnd w:id="25"/>
      <w:bookmarkEnd w:id="26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.1 功能介绍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>用于查询单位缴存职工公积金账户的资金变动情况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.2 输入项说明</w:t>
      </w:r>
    </w:p>
    <w:p>
      <w:pP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个人姓名、证件号码、个人账号任一项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.3 业务规则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个人账户管理-个人账户查询-个人明细账查询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输入查询条件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，点击查询</w:t>
      </w:r>
    </w:p>
    <w:p>
      <w:pPr>
        <w:rPr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3" o:spid="_x0000_s1043" type="#_x0000_t75" style="height:164.1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</w:rPr>
      </w:pPr>
      <w:bookmarkStart w:id="28" w:name="_Toc30684"/>
      <w:r>
        <w:rPr>
          <w:rFonts w:hint="default"/>
        </w:rPr>
        <w:t>4.</w:t>
      </w:r>
      <w:r>
        <w:rPr>
          <w:rFonts w:hint="eastAsia"/>
          <w:lang w:val="en-US" w:eastAsia="zh-CN"/>
        </w:rPr>
        <w:t>2</w:t>
      </w:r>
      <w:r>
        <w:rPr>
          <w:rFonts w:hint="default"/>
        </w:rPr>
        <w:t xml:space="preserve"> 个人账户信息查询</w:t>
      </w:r>
      <w:bookmarkEnd w:id="27"/>
      <w:bookmarkEnd w:id="28"/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.1 功能介绍</w:t>
      </w:r>
    </w:p>
    <w:p>
      <w:pPr>
        <w:jc w:val="left"/>
        <w:rPr>
          <w:rStyle w:val="25"/>
          <w:rFonts w:hint="default"/>
          <w:b/>
          <w:sz w:val="32"/>
          <w:szCs w:val="32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用于查询单位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职工住房公积金个人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基本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信息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个人姓名、证件号码、个人账号任一项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.3 业务规则</w:t>
      </w:r>
    </w:p>
    <w:p>
      <w:pPr>
        <w:rPr>
          <w:rFonts w:hint="default"/>
        </w:rPr>
      </w:pP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4.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个人账户管理-个人账户查询-个人账户信息查询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输入查询条件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，点击查询查看信息或浏览详情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7" o:spid="_x0000_s1044" type="#_x0000_t75" style="height:129.9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</w:rPr>
      </w:pPr>
      <w:bookmarkStart w:id="29" w:name="_Toc29692"/>
      <w:bookmarkStart w:id="30" w:name="_Toc10036"/>
      <w:r>
        <w:rPr>
          <w:rFonts w:hint="default"/>
        </w:rPr>
        <w:t>4.3 年度个人对账</w:t>
      </w:r>
      <w:bookmarkEnd w:id="29"/>
      <w:bookmarkEnd w:id="30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.3.1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按年度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职工公积金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账户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的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收支情况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.3.2 输入项说明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公积金年度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、个人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姓名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或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证件号码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（选填）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.3.3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查询已结束的公积金年度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.3.4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个人账户管理-个人账户查询-年度个人对账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输入查询条件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，点击查询，可查询或导出个人对账单</w:t>
      </w:r>
    </w:p>
    <w:p>
      <w:pPr>
        <w:rPr>
          <w:rFonts w:ascii="宋体" w:hAnsi="宋体" w:eastAsia="宋体"/>
          <w:b/>
          <w:color w:val="000000"/>
          <w:sz w:val="30"/>
          <w:szCs w:val="30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8" o:spid="_x0000_s1045" type="#_x0000_t75" style="height:155.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31" w:name="_Toc28644"/>
      <w:bookmarkStart w:id="32" w:name="_Toc30071"/>
      <w:r>
        <w:t>5个人信息修改</w:t>
      </w:r>
      <w:bookmarkEnd w:id="31"/>
      <w:bookmarkEnd w:id="32"/>
    </w:p>
    <w:p>
      <w:pPr>
        <w:pStyle w:val="3"/>
        <w:rPr>
          <w:rFonts w:hint="default"/>
        </w:rPr>
      </w:pPr>
      <w:bookmarkStart w:id="33" w:name="_Toc32383"/>
      <w:bookmarkStart w:id="34" w:name="_Toc3281"/>
      <w:r>
        <w:rPr>
          <w:rFonts w:hint="default"/>
        </w:rPr>
        <w:t xml:space="preserve">5.1 </w:t>
      </w:r>
      <w:r>
        <w:rPr>
          <w:rFonts w:hint="eastAsia"/>
          <w:lang w:eastAsia="zh-CN"/>
        </w:rPr>
        <w:t>个人信息修改</w:t>
      </w:r>
      <w:bookmarkEnd w:id="33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5.1.1</w:t>
      </w:r>
      <w:r>
        <w:rPr>
          <w:rFonts w:hint="default"/>
          <w:sz w:val="30"/>
          <w:szCs w:val="30"/>
          <w:lang w:val="en-US" w:eastAsia="zh-CN"/>
        </w:rPr>
        <w:t>功能介绍</w:t>
      </w:r>
      <w:bookmarkEnd w:id="34"/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修改职工基本信息，包括户籍、家庭住址、电话号码等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35" w:name="_Toc17021"/>
      <w:r>
        <w:rPr>
          <w:rFonts w:hint="default"/>
          <w:sz w:val="30"/>
          <w:szCs w:val="30"/>
          <w:lang w:val="en-US" w:eastAsia="zh-CN"/>
        </w:rPr>
        <w:t>5.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 输入项说明</w:t>
      </w:r>
      <w:bookmarkEnd w:id="35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个人姓名、证件号码、个人账号任一项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36" w:name="_Toc32695"/>
      <w:r>
        <w:rPr>
          <w:rFonts w:hint="default"/>
          <w:sz w:val="30"/>
          <w:szCs w:val="30"/>
          <w:lang w:val="en-US" w:eastAsia="zh-CN"/>
        </w:rPr>
        <w:t>5.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 业务规则</w:t>
      </w:r>
      <w:bookmarkEnd w:id="36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1.修改其他信息中的选项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修改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职工姓名、身份证号、证件类型的仍需按照中心公布的办事指南，携带相关材料至中心柜台办理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37" w:name="_Toc28570"/>
      <w:r>
        <w:rPr>
          <w:rFonts w:hint="default"/>
          <w:sz w:val="30"/>
          <w:szCs w:val="30"/>
          <w:lang w:val="en-US" w:eastAsia="zh-CN"/>
        </w:rPr>
        <w:t>5.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 操作流程详解</w:t>
      </w:r>
      <w:bookmarkEnd w:id="37"/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个人账户管理-个人信息修改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输入查询项，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查询后点击修改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2" o:spid="_x0000_s1046" type="#_x0000_t75" style="height:158.1pt;width:415.0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2" o:spid="_x0000_s1047" type="#_x0000_t75" style="height:151.9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eastAsia"/>
          <w:lang w:val="en-US" w:eastAsia="zh-CN"/>
        </w:rPr>
      </w:pPr>
      <w:bookmarkStart w:id="38" w:name="_Toc11748"/>
      <w:r>
        <w:rPr>
          <w:rFonts w:hint="eastAsia"/>
          <w:lang w:val="en-US" w:eastAsia="zh-CN"/>
        </w:rPr>
        <w:t>5.2 客户信息修改记录查询</w:t>
      </w:r>
      <w:bookmarkEnd w:id="38"/>
    </w:p>
    <w:p>
      <w:pPr>
        <w:jc w:val="left"/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个人信息修改业务完成后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客户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信息修改查询界面，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填写查询项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查看修改记录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并进行业务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凭证下载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" o:spid="_x0000_s1048" type="#_x0000_t75" style="height:183.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39" w:name="_Toc32359"/>
      <w:bookmarkStart w:id="40" w:name="_Toc3690"/>
      <w:r>
        <w:rPr>
          <w:rFonts w:hint="default"/>
        </w:rPr>
        <w:t>6单位信息修改</w:t>
      </w:r>
      <w:bookmarkEnd w:id="39"/>
      <w:bookmarkEnd w:id="40"/>
    </w:p>
    <w:p>
      <w:pPr>
        <w:pStyle w:val="3"/>
        <w:rPr>
          <w:rFonts w:hint="default"/>
          <w:lang w:val="en-US" w:eastAsia="zh-CN"/>
        </w:rPr>
      </w:pPr>
      <w:bookmarkStart w:id="41" w:name="_Toc30245"/>
      <w:bookmarkStart w:id="42" w:name="_Toc30482"/>
      <w:r>
        <w:rPr>
          <w:rFonts w:hint="default"/>
          <w:lang w:val="en-US" w:eastAsia="zh-CN"/>
        </w:rPr>
        <w:t xml:space="preserve">6.1 </w:t>
      </w:r>
      <w:r>
        <w:rPr>
          <w:rFonts w:hint="eastAsia"/>
          <w:lang w:val="en-US" w:eastAsia="zh-CN"/>
        </w:rPr>
        <w:t>单位信息修改</w:t>
      </w:r>
      <w:bookmarkEnd w:id="4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default"/>
          <w:sz w:val="30"/>
          <w:szCs w:val="30"/>
          <w:lang w:val="en-US" w:eastAsia="zh-CN"/>
        </w:rPr>
        <w:t>.1.1 功能介绍</w:t>
      </w:r>
      <w:bookmarkEnd w:id="42"/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修改单位基本信息，包括单位地址、邮政编码、开户银行名称、单位法人信息等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43" w:name="_Toc16771"/>
      <w:r>
        <w:rPr>
          <w:rFonts w:hint="default"/>
          <w:sz w:val="30"/>
          <w:szCs w:val="30"/>
          <w:lang w:val="en-US" w:eastAsia="zh-CN"/>
        </w:rPr>
        <w:t>6.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 输入项说明</w:t>
      </w:r>
      <w:bookmarkEnd w:id="43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44" w:name="_Toc1679"/>
      <w:r>
        <w:rPr>
          <w:rFonts w:hint="default"/>
          <w:sz w:val="30"/>
          <w:szCs w:val="30"/>
          <w:lang w:val="en-US" w:eastAsia="zh-CN"/>
        </w:rPr>
        <w:t>6.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 业务规则</w:t>
      </w:r>
      <w:bookmarkEnd w:id="44"/>
    </w:p>
    <w:p>
      <w:pPr>
        <w:rPr>
          <w:rStyle w:val="25"/>
          <w:rFonts w:hint="eastAsia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1.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修改单位名称、单位经办人信息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的仍需按照中心公布的办事指南，携带相关材料至中心柜台办理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2.其他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业务规则及注意事项请参照中心公布的业务指南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45" w:name="_Toc32564"/>
      <w:r>
        <w:rPr>
          <w:rFonts w:hint="default"/>
          <w:sz w:val="30"/>
          <w:szCs w:val="30"/>
          <w:lang w:val="en-US" w:eastAsia="zh-CN"/>
        </w:rPr>
        <w:t>6.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 操作流程详解</w:t>
      </w:r>
      <w:bookmarkEnd w:id="45"/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单位账户管理-单位信息修改</w:t>
      </w:r>
    </w:p>
    <w:p>
      <w:pPr>
        <w:rPr>
          <w:rStyle w:val="25"/>
          <w:rFonts w:hint="default"/>
          <w:b/>
          <w:sz w:val="32"/>
          <w:szCs w:val="32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6" o:spid="_x0000_s1049" type="#_x0000_t75" style="height:163.6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  <w:lang w:val="en-US" w:eastAsia="zh-CN"/>
        </w:rPr>
      </w:pPr>
      <w:bookmarkStart w:id="46" w:name="_Toc21400"/>
      <w:bookmarkStart w:id="47" w:name="_Toc25279"/>
      <w:r>
        <w:rPr>
          <w:rFonts w:hint="default"/>
          <w:lang w:val="en-US" w:eastAsia="zh-CN"/>
        </w:rPr>
        <w:t>6.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单位信息修改</w:t>
      </w:r>
      <w:r>
        <w:rPr>
          <w:rFonts w:hint="default"/>
          <w:lang w:val="en-US" w:eastAsia="zh-CN"/>
        </w:rPr>
        <w:t>查询</w:t>
      </w:r>
      <w:bookmarkEnd w:id="46"/>
      <w:bookmarkEnd w:id="47"/>
    </w:p>
    <w:p>
      <w:pPr>
        <w:jc w:val="left"/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单位信息修改完成后，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在单位信息修改查询界面，选择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起止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时间查看修改记录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并进行业务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凭证下载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8" o:spid="_x0000_s1050" type="#_x0000_t75" style="height:166.6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48" w:name="_Toc6756"/>
      <w:bookmarkStart w:id="49" w:name="_Toc12927"/>
      <w:r>
        <w:rPr>
          <w:rFonts w:hint="default"/>
        </w:rPr>
        <w:t>7 单位账户查询</w:t>
      </w:r>
      <w:bookmarkEnd w:id="48"/>
      <w:bookmarkEnd w:id="49"/>
    </w:p>
    <w:p>
      <w:pPr>
        <w:pStyle w:val="3"/>
        <w:rPr>
          <w:rFonts w:hint="default"/>
          <w:lang w:val="en-US" w:eastAsia="zh-CN"/>
        </w:rPr>
      </w:pPr>
      <w:bookmarkStart w:id="50" w:name="_Toc15690"/>
      <w:bookmarkStart w:id="51" w:name="_Toc16328"/>
      <w:r>
        <w:rPr>
          <w:rFonts w:hint="default"/>
          <w:lang w:val="en-US" w:eastAsia="zh-CN"/>
        </w:rPr>
        <w:t>7.1 单位基本信息查询</w:t>
      </w:r>
      <w:bookmarkEnd w:id="50"/>
      <w:bookmarkEnd w:id="5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7.1.1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查询缴存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单位基本信息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7.1.2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7.1.3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7.1.4 操作流程详解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单位账户管理-单位账户查询-单位基本信息查询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9" o:spid="_x0000_s1051" type="#_x0000_t75" style="height:155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  <w:lang w:val="en-US" w:eastAsia="zh-CN"/>
        </w:rPr>
      </w:pPr>
      <w:bookmarkStart w:id="52" w:name="_Toc6290"/>
      <w:bookmarkStart w:id="53" w:name="_Toc10950"/>
      <w:r>
        <w:rPr>
          <w:rFonts w:hint="default"/>
          <w:lang w:val="en-US" w:eastAsia="zh-CN"/>
        </w:rPr>
        <w:t>7.2 单位明细查询</w:t>
      </w:r>
      <w:bookmarkEnd w:id="52"/>
      <w:bookmarkEnd w:id="53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7.2.1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查询缴存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单位账户资金变动情况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7.2.2 输入项说明</w:t>
      </w:r>
    </w:p>
    <w:p>
      <w:pPr>
        <w:ind w:firstLine="560" w:firstLineChars="200"/>
        <w:rPr>
          <w:rFonts w:hint="default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起止日期、业务类别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7.2.3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7.2.4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单位账户管理-单位账户查询-单位明细查询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输入查询项，点击查询</w:t>
      </w:r>
    </w:p>
    <w:p>
      <w:pPr>
        <w:rPr>
          <w:rFonts w:ascii="宋体" w:hAnsi="宋体" w:eastAsia="宋体"/>
          <w:b/>
          <w:color w:val="000000"/>
          <w:sz w:val="30"/>
          <w:szCs w:val="30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7" o:spid="_x0000_s1052" type="#_x0000_t75" style="height:158.3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  <w:lang w:val="en-US" w:eastAsia="zh-CN"/>
        </w:rPr>
      </w:pPr>
      <w:bookmarkStart w:id="54" w:name="_Toc10044"/>
      <w:bookmarkStart w:id="55" w:name="_Toc22509"/>
      <w:r>
        <w:rPr>
          <w:rFonts w:hint="default"/>
          <w:lang w:val="en-US" w:eastAsia="zh-CN"/>
        </w:rPr>
        <w:t xml:space="preserve">7.3 </w:t>
      </w:r>
      <w:r>
        <w:rPr>
          <w:rFonts w:hint="eastAsia"/>
          <w:lang w:val="en-US" w:eastAsia="zh-CN"/>
        </w:rPr>
        <w:t>汇补缴不符暂存款</w:t>
      </w:r>
      <w:r>
        <w:rPr>
          <w:rFonts w:hint="default"/>
          <w:lang w:val="en-US" w:eastAsia="zh-CN"/>
        </w:rPr>
        <w:t>查询</w:t>
      </w:r>
      <w:bookmarkEnd w:id="54"/>
      <w:bookmarkEnd w:id="55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7.3.1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查询单位下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汇补缴不符暂存款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的交易记录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7.3.2 输入项说明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起止日期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7.3.3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有未入账的汇补缴款，需及时联系中心处理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7.3.4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单位账户管理-单位账户查询-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汇补缴不符暂存款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输入查询项，点击查询</w:t>
      </w:r>
    </w:p>
    <w:p>
      <w:pPr>
        <w:rPr>
          <w:rStyle w:val="25"/>
          <w:rFonts w:hint="eastAsia" w:eastAsia="宋体"/>
          <w:lang w:eastAsia="zh-CN"/>
        </w:rPr>
      </w:pPr>
      <w:r>
        <w:rPr>
          <w:rFonts w:hint="eastAsia" w:ascii="宋体" w:hAnsi="宋体" w:eastAsia="宋体" w:cs="Times New Roman"/>
          <w:color w:val="000000"/>
          <w:kern w:val="2"/>
          <w:sz w:val="28"/>
          <w:szCs w:val="28"/>
          <w:lang w:val="en-US" w:eastAsia="zh-CN" w:bidi="ar-SA"/>
        </w:rPr>
        <w:pict>
          <v:shape id="图片 79" o:spid="_x0000_s1053" type="#_x0000_t75" style="height:15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图片1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56" w:name="_Toc4989"/>
      <w:bookmarkStart w:id="57" w:name="_Toc20993"/>
      <w:r>
        <w:rPr>
          <w:rFonts w:hint="default"/>
        </w:rPr>
        <w:t>8 个人账户合并</w:t>
      </w:r>
      <w:bookmarkEnd w:id="56"/>
      <w:bookmarkEnd w:id="57"/>
    </w:p>
    <w:p>
      <w:pPr>
        <w:pStyle w:val="3"/>
        <w:rPr>
          <w:rFonts w:hint="default"/>
          <w:lang w:val="en-US" w:eastAsia="zh-CN"/>
        </w:rPr>
      </w:pPr>
      <w:bookmarkStart w:id="58" w:name="_Toc2903"/>
      <w:bookmarkStart w:id="59" w:name="_Toc15195"/>
      <w:r>
        <w:rPr>
          <w:rFonts w:hint="default"/>
          <w:lang w:val="en-US" w:eastAsia="zh-CN"/>
        </w:rPr>
        <w:t>8.1 个人账户合并</w:t>
      </w:r>
      <w:bookmarkEnd w:id="58"/>
      <w:bookmarkEnd w:id="59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8.1.1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缴存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工在本单位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下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存在多个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账户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的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，可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进行账户合并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8.1.2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合并转出个人账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号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合并转入个人账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号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8.1.3 业务规则</w:t>
      </w:r>
    </w:p>
    <w:p>
      <w:pPr>
        <w:ind w:firstLine="560" w:firstLineChars="200"/>
        <w:rPr>
          <w:rStyle w:val="25"/>
          <w:rFonts w:hint="eastAsia"/>
          <w:lang w:val="en-US" w:eastAsia="zh-CN"/>
        </w:rPr>
      </w:pPr>
      <w:r>
        <w:rPr>
          <w:rStyle w:val="25"/>
          <w:rFonts w:hint="eastAsia"/>
          <w:lang w:val="en-US" w:eastAsia="zh-CN"/>
        </w:rPr>
        <w:t>1.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本单位已缴存职工在其他单位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同时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存在一个或多个“封存”账户，可操作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内部转移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将职工其他单位下的个人账户转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入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至本单位后，进行个人合并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Style w:val="25"/>
          <w:rFonts w:hint="eastAsia"/>
          <w:lang w:val="en-US" w:eastAsia="zh-CN"/>
        </w:rPr>
        <w:t>其他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业务规则及注意事项请参照中心公布的业务指南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8.1.4 操作流程详解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路径：个人账户管理-个人账户合并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输入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转出个人账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号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及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转入个人账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号，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确认信息无误后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点击提交</w:t>
      </w:r>
    </w:p>
    <w:p>
      <w:pPr>
        <w:rPr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9" o:spid="_x0000_s1054" type="#_x0000_t75" style="height:139.9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default"/>
          <w:lang w:val="en-US" w:eastAsia="zh-CN"/>
        </w:rPr>
      </w:pPr>
      <w:bookmarkStart w:id="60" w:name="_Toc11631"/>
      <w:bookmarkStart w:id="61" w:name="_Toc9216"/>
      <w:r>
        <w:rPr>
          <w:rFonts w:hint="default"/>
          <w:lang w:val="en-US" w:eastAsia="zh-CN"/>
        </w:rPr>
        <w:t>8.2 个人账户合并查询</w:t>
      </w:r>
      <w:bookmarkEnd w:id="60"/>
      <w:bookmarkEnd w:id="6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8.2.1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已办理完成的个人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合并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业务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8.2.2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合并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转出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账号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或合并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转入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账号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8.2.3 业务规则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8.2.4 操作流程详解</w:t>
      </w:r>
    </w:p>
    <w:p>
      <w:pPr>
        <w:ind w:firstLine="600" w:firstLineChars="200"/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30"/>
          <w:szCs w:val="30"/>
          <w:lang w:val="en-US" w:eastAsia="zh-CN"/>
        </w:rPr>
        <w:t>路径：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个人账户管理-个人账户合并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个人账户合并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查询</w:t>
      </w:r>
    </w:p>
    <w:p>
      <w:pPr>
        <w:ind w:firstLine="600" w:firstLineChars="200"/>
        <w:rPr>
          <w:rFonts w:hint="default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输入查询项，点击查询，查看办理结果或下载业务凭证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1" o:spid="_x0000_s1055" type="#_x0000_t75" style="height:163.3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62" w:name="_Toc29149"/>
      <w:bookmarkStart w:id="63" w:name="_Toc14759"/>
      <w:r>
        <w:rPr>
          <w:rFonts w:hint="default"/>
        </w:rPr>
        <w:t>9 个人账户封存启封</w:t>
      </w:r>
      <w:bookmarkEnd w:id="62"/>
      <w:bookmarkEnd w:id="63"/>
    </w:p>
    <w:p>
      <w:pPr>
        <w:pStyle w:val="3"/>
        <w:rPr>
          <w:rFonts w:hint="default"/>
          <w:lang w:val="en-US" w:eastAsia="zh-CN"/>
        </w:rPr>
      </w:pPr>
      <w:bookmarkStart w:id="64" w:name="_Toc12678"/>
      <w:bookmarkStart w:id="65" w:name="_Toc4322"/>
      <w:r>
        <w:rPr>
          <w:rFonts w:hint="default"/>
          <w:lang w:val="en-US" w:eastAsia="zh-CN"/>
        </w:rPr>
        <w:t>9.1个人账户封存（单笔）</w:t>
      </w:r>
      <w:bookmarkEnd w:id="64"/>
      <w:bookmarkEnd w:id="65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9.1.1 功能介绍</w:t>
      </w:r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对正常缴存住房公积金的缴存职工，办理封存业务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9.1.2 输入项说明</w:t>
      </w:r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个人姓名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个人账号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证件号码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任一项</w:t>
      </w:r>
    </w:p>
    <w:p>
      <w:pPr>
        <w:ind w:left="0" w:leftChars="0"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职工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清册查询</w:t>
      </w:r>
    </w:p>
    <w:p>
      <w:pPr>
        <w:ind w:left="0" w:leftChars="0"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3.封存原因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9.1.3 业务规则</w:t>
      </w:r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1.每年7月份封存的人员须待年度核定完成后方可办理封存业务</w:t>
      </w:r>
    </w:p>
    <w:p>
      <w:pPr>
        <w:ind w:left="0" w:leftChars="0" w:firstLine="0" w:firstLineChars="0"/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Style w:val="25"/>
          <w:rFonts w:hint="eastAsia"/>
          <w:lang w:val="en-US" w:eastAsia="zh-CN"/>
        </w:rPr>
        <w:t>其他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业务规则及注意事项请参照中心公布的业务指南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9.1.4 操作流程详解</w:t>
      </w:r>
    </w:p>
    <w:p>
      <w:pPr>
        <w:ind w:left="0" w:leftChars="0" w:firstLine="0" w:firstLineChars="0"/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变更业务-个人账户封存启封-个人账户封存</w:t>
      </w:r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输入待封存职工个人信息，点击添加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7" o:spid="_x0000_s1056" type="#_x0000_t75" style="height:180.8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2.添加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并确认信息无误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后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可以单笔提交也可以全部提交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。若信息异常，可点击删除</w:t>
      </w:r>
    </w:p>
    <w:p>
      <w:pPr>
        <w:rPr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2" o:spid="_x0000_s1057" type="#_x0000_t75" style="height:179.2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 提交后，在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交易进度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查询界面查看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结果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。若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失败，查看错误信息或下载报错文件</w:t>
      </w:r>
    </w:p>
    <w:p>
      <w:pPr>
        <w:pStyle w:val="3"/>
        <w:rPr>
          <w:rFonts w:hint="default"/>
          <w:lang w:val="en-US" w:eastAsia="zh-CN"/>
        </w:rPr>
      </w:pPr>
      <w:bookmarkStart w:id="66" w:name="_Toc7071"/>
      <w:bookmarkStart w:id="67" w:name="_Toc28110"/>
      <w:r>
        <w:rPr>
          <w:rFonts w:hint="default"/>
          <w:lang w:val="en-US" w:eastAsia="zh-CN"/>
        </w:rPr>
        <w:t>9.2个人账户封存（批量）</w:t>
      </w:r>
      <w:bookmarkEnd w:id="66"/>
      <w:bookmarkEnd w:id="67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9.2.1 功能介绍</w:t>
      </w:r>
    </w:p>
    <w:p>
      <w:pP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大批量封存职工账户时通过批量导入功能实现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9.2.2 输入项说明</w:t>
      </w:r>
    </w:p>
    <w:p>
      <w:pPr>
        <w:ind w:left="1120" w:hanging="1120" w:hangingChars="40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批量封存模板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9.2.3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个人账户封存（单笔）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办理规则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9.2.4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变更业务-个人账户封存启封-个人账户封存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1.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下载批量封存模板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3" o:spid="_x0000_s1058" type="#_x0000_t75" style="height:159.3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2.正确填写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内容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1" o:spid="_x0000_s1059" type="#_x0000_t75" style="height:51.6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="Calibri"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3.页面点击上传文件，文件上传成功后点击批量导入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清册中会显示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模板内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数据，核对无误后点击提交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可单笔提交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或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全部提交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，完成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封存。若信息异常，点击删除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4" o:spid="_x0000_s1060" type="#_x0000_t75" style="height:163.4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4.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后续步骤同个人账户封存（单笔）操作</w:t>
      </w:r>
    </w:p>
    <w:p>
      <w:pPr>
        <w:pStyle w:val="3"/>
        <w:rPr>
          <w:rFonts w:hint="default"/>
          <w:lang w:val="en-US" w:eastAsia="zh-CN"/>
        </w:rPr>
      </w:pPr>
      <w:bookmarkStart w:id="68" w:name="_Toc12866"/>
      <w:bookmarkStart w:id="69" w:name="_Toc28067"/>
      <w:r>
        <w:rPr>
          <w:rFonts w:hint="default"/>
          <w:lang w:val="en-US" w:eastAsia="zh-CN"/>
        </w:rPr>
        <w:t>9.3个人账户启封（单笔）</w:t>
      </w:r>
      <w:bookmarkEnd w:id="68"/>
      <w:bookmarkEnd w:id="69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9.3.1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对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本单位账户状态为封存的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缴存职工，办理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启封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业务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9.3.2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1.个人姓名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个人账号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证件号码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任一项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职工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清册查询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3.启封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原因 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4.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个人缴存基数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9.3.3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1.若启封职工年龄超过55周岁（女）、60周岁（男），须联系中心，携带补充资料至中心柜台办理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2.当月封存职工不可在同单位同一业务月度办理启封业务，有合理原因须办理启封的，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需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至中心柜台办理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3. </w:t>
      </w:r>
      <w:r>
        <w:rPr>
          <w:rStyle w:val="25"/>
          <w:rFonts w:hint="eastAsia"/>
          <w:lang w:val="en-US" w:eastAsia="zh-CN"/>
        </w:rPr>
        <w:t>其他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业务规则及注意事项请参照中心公布的业务指南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9.3.4 操作流程详解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变更业务-个人账户封存启封-个人账户启封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1.输入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缴存职工信息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，点击添加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3" o:spid="_x0000_s1061" type="#_x0000_t75" style="height:17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添加后下方清册中显示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启封信息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确认无误后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可以单笔提交也可以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全部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。若信息异常，点击删除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6" o:spid="_x0000_s1062" type="#_x0000_t75" style="height:132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提交后，在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交易进度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查询界面查看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结果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。若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失败，查看错误信息或下载报错文件</w:t>
      </w:r>
    </w:p>
    <w:p>
      <w:pPr>
        <w:pStyle w:val="3"/>
        <w:rPr>
          <w:rFonts w:hint="default"/>
          <w:lang w:val="en-US" w:eastAsia="zh-CN"/>
        </w:rPr>
      </w:pPr>
      <w:bookmarkStart w:id="70" w:name="_Toc16130"/>
      <w:bookmarkStart w:id="71" w:name="_Toc12040"/>
      <w:r>
        <w:rPr>
          <w:rFonts w:hint="default"/>
          <w:lang w:val="en-US" w:eastAsia="zh-CN"/>
        </w:rPr>
        <w:t>9.4个人账户启封（批量）</w:t>
      </w:r>
      <w:bookmarkEnd w:id="70"/>
      <w:bookmarkEnd w:id="7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9.4.1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大批量启封职工账户时通过批量导入功能实现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9.4.2 输入项说明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批量启封模板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9.4.3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个人账户启封（单笔）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办理规则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9.4.4 操作流程详解</w:t>
      </w:r>
    </w:p>
    <w:p>
      <w:pPr>
        <w:rPr>
          <w:rStyle w:val="25"/>
          <w:rFonts w:hint="eastAsia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变更业务-个人账户封存启封-个人账户启封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1.下载批量启封模板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7" o:spid="_x0000_s1063" type="#_x0000_t75" style="height:141.3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2.正确填写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内容</w:t>
      </w:r>
    </w:p>
    <w:p>
      <w:p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9" o:spid="_x0000_s1064" type="#_x0000_t75" style="height:46.0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3.页面点击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选择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文件，文件上传成功后点击批量导入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清册中会显示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模板内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数据，核对无误后点击提交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可单笔提交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或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全部提交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，完成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启封。若信息异常，点击删除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8" o:spid="_x0000_s1065" type="#_x0000_t75" style="height:182.9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9" o:spid="_x0000_s1066" type="#_x0000_t75" style="height:178.9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4.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后续步骤同个人账户启封（单笔）操作</w:t>
      </w:r>
    </w:p>
    <w:p>
      <w:pPr>
        <w:pStyle w:val="3"/>
        <w:rPr>
          <w:rFonts w:hint="default"/>
          <w:lang w:val="en-US" w:eastAsia="zh-CN"/>
        </w:rPr>
      </w:pPr>
      <w:bookmarkStart w:id="72" w:name="_Toc30840"/>
      <w:bookmarkStart w:id="73" w:name="_Toc23071"/>
      <w:r>
        <w:rPr>
          <w:rFonts w:hint="default"/>
          <w:lang w:val="en-US" w:eastAsia="zh-CN"/>
        </w:rPr>
        <w:t>9.5封存启封查询</w:t>
      </w:r>
      <w:bookmarkEnd w:id="72"/>
      <w:bookmarkEnd w:id="73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9.5.1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用于查询单位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职工公积金账户的封存启封记录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9.5.2 输入项说明</w:t>
      </w:r>
    </w:p>
    <w:p>
      <w:pPr>
        <w:ind w:firstLine="560" w:firstLineChars="200"/>
        <w:rPr>
          <w:rStyle w:val="25"/>
          <w:rFonts w:hint="eastAsia"/>
          <w:lang w:val="en-US" w:eastAsia="zh-CN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起止日期</w:t>
      </w:r>
      <w:r>
        <w:rPr>
          <w:rStyle w:val="25"/>
          <w:rFonts w:hint="eastAsia"/>
          <w:lang w:val="en-US" w:eastAsia="zh-CN"/>
        </w:rPr>
        <w:t>、个人姓名或身份证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9.5.3 业务规则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9.5.4 操作流程详解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bookmarkStart w:id="74" w:name="_Toc30693"/>
      <w:r>
        <w:rPr>
          <w:rFonts w:hint="eastAsia"/>
          <w:sz w:val="28"/>
          <w:szCs w:val="28"/>
          <w:lang w:val="en-US" w:eastAsia="zh-CN"/>
        </w:rPr>
        <w:t>路径：变更业务-个人账户封存启封-封存启封查询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输入查询条件后点击查询，查看办理结果或下载业务凭证</w:t>
      </w:r>
    </w:p>
    <w:bookmarkEnd w:id="74"/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2" o:spid="_x0000_s1067" type="#_x0000_t75" style="height:130.6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75" w:name="_Toc21859"/>
      <w:bookmarkStart w:id="76" w:name="_Toc13627"/>
      <w:r>
        <w:rPr>
          <w:rFonts w:hint="default"/>
        </w:rPr>
        <w:t>10 内部转移</w:t>
      </w:r>
      <w:bookmarkEnd w:id="75"/>
      <w:bookmarkEnd w:id="76"/>
    </w:p>
    <w:p>
      <w:pPr>
        <w:pStyle w:val="3"/>
        <w:rPr>
          <w:rFonts w:hint="default"/>
          <w:lang w:val="en-US" w:eastAsia="zh-CN"/>
        </w:rPr>
      </w:pPr>
      <w:bookmarkStart w:id="77" w:name="_Toc19462"/>
      <w:bookmarkStart w:id="78" w:name="_Toc20529"/>
      <w:r>
        <w:rPr>
          <w:rFonts w:hint="default"/>
          <w:lang w:val="en-US" w:eastAsia="zh-CN"/>
        </w:rPr>
        <w:t>10.1个人账户转入（单笔）</w:t>
      </w:r>
      <w:bookmarkEnd w:id="77"/>
      <w:bookmarkEnd w:id="78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10.1.1 功能介绍</w:t>
      </w:r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职工已在陕西省住房资金管理中心有公积金缴存账户的，将缴存账户由上单位转移至本单位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10.1.2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个人姓名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证件号码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转移原因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10.1.3 业务规则</w:t>
      </w:r>
    </w:p>
    <w:p>
      <w:pPr>
        <w:rPr>
          <w:rStyle w:val="25"/>
          <w:rFonts w:hint="eastAsia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1.业务提交后立即生效，无需复核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Style w:val="25"/>
          <w:rFonts w:hint="eastAsia"/>
          <w:lang w:val="en-US" w:eastAsia="zh-CN"/>
        </w:rPr>
        <w:t>其他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业务规则及注意事项请参照中心公布的业务指南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10.1.4 操作流程详解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变更业务-内部转移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-个人账户转入</w:t>
      </w:r>
    </w:p>
    <w:p>
      <w:pPr>
        <w:ind w:firstLine="560" w:firstLineChars="200"/>
        <w:rPr>
          <w:rStyle w:val="25"/>
          <w:rFonts w:hint="default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1.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输入姓名、证件号码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并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选择转移原因，确定无误后点击添加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0" o:spid="_x0000_s1068" type="#_x0000_t75" style="height:172.2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2.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添加后在清册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中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转移信息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确认无误后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可以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单笔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提交也可以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全部提交。如信息异常，点击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删除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3" o:spid="_x0000_s1069" type="#_x0000_t75" style="height:15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3.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提交后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在交易进度查询界面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查看办理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结果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。若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失败，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可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查看错误信息或下载报错文件</w:t>
      </w:r>
    </w:p>
    <w:p>
      <w:pPr>
        <w:pStyle w:val="3"/>
        <w:rPr>
          <w:rFonts w:hint="default"/>
          <w:lang w:val="en-US" w:eastAsia="zh-CN"/>
        </w:rPr>
      </w:pPr>
      <w:bookmarkStart w:id="79" w:name="_Toc4978"/>
      <w:bookmarkStart w:id="80" w:name="_Toc30237"/>
      <w:r>
        <w:rPr>
          <w:rFonts w:hint="default"/>
          <w:lang w:val="en-US" w:eastAsia="zh-CN"/>
        </w:rPr>
        <w:t>10.2个人账户转入（批量）</w:t>
      </w:r>
      <w:bookmarkEnd w:id="79"/>
      <w:bookmarkEnd w:id="80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10.2.1 功能介绍</w:t>
      </w:r>
    </w:p>
    <w:p>
      <w:pPr>
        <w:ind w:left="700" w:hanging="700" w:hangingChars="25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大批量转移职工账户时通过批量导入功能实现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10.2.2 输入项说明</w:t>
      </w:r>
    </w:p>
    <w:p>
      <w:pPr>
        <w:ind w:left="700" w:hanging="700" w:hangingChars="25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批量转入模板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10.2.3 业务规则</w:t>
      </w:r>
    </w:p>
    <w:p>
      <w:pPr>
        <w:ind w:left="700" w:hanging="700" w:hangingChars="25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同个人账户转入（单笔）业务规则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10.2.4 操作流程详解</w:t>
      </w:r>
    </w:p>
    <w:p>
      <w:pPr>
        <w:ind w:left="0" w:leftChars="0"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变更业务-内部转移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-个人账户转入</w:t>
      </w:r>
    </w:p>
    <w:p>
      <w:pPr>
        <w:numPr>
          <w:ilvl w:val="0"/>
          <w:numId w:val="1"/>
        </w:numPr>
        <w:ind w:left="0" w:leftChars="0"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下载批量转入模板</w:t>
      </w:r>
    </w:p>
    <w:p>
      <w:p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2" o:spid="_x0000_s1070" type="#_x0000_t75" style="height:136.1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2.正确填写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内容</w:t>
      </w:r>
    </w:p>
    <w:p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pict>
          <v:shape id="图片 108" o:spid="_x0000_s1071" type="#_x0000_t75" style="height:39.8pt;width:414.8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1632389832(1)" r:id="rId5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3.页面点击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上传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文件，文件上传成功后点击批量导入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清册中会显示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模板内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数据，核对无误后点击提交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（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可单笔提交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或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全部提交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，完成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转入。若信息异常，点击删除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2" o:spid="_x0000_s1072" type="#_x0000_t75" style="height:147.7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4.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后续步骤同个人账户转入（单笔）操作</w:t>
      </w:r>
    </w:p>
    <w:p>
      <w:pPr>
        <w:pStyle w:val="3"/>
        <w:rPr>
          <w:rFonts w:hint="default"/>
          <w:lang w:val="en-US" w:eastAsia="zh-CN"/>
        </w:rPr>
      </w:pPr>
      <w:bookmarkStart w:id="81" w:name="_Toc28960"/>
      <w:bookmarkStart w:id="82" w:name="_Toc27869"/>
      <w:r>
        <w:rPr>
          <w:rFonts w:hint="default"/>
          <w:lang w:val="en-US" w:eastAsia="zh-CN"/>
        </w:rPr>
        <w:t>10.3转移查询</w:t>
      </w:r>
      <w:bookmarkEnd w:id="81"/>
      <w:bookmarkEnd w:id="82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10.3.1 功能介绍</w:t>
      </w:r>
    </w:p>
    <w:p>
      <w:pPr>
        <w:ind w:left="840" w:hanging="840" w:hangingChars="300"/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职工公积金账户转移情况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10.3.2 输入项说明</w:t>
      </w:r>
    </w:p>
    <w:p>
      <w:pPr>
        <w:ind w:left="840" w:hanging="840" w:hangingChars="300"/>
        <w:rPr>
          <w:rFonts w:ascii="宋体" w:hAnsi="宋体" w:eastAsia="宋体"/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起止日期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姓名证件号码（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选填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）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10.3.3 业务规则</w:t>
      </w:r>
    </w:p>
    <w:p>
      <w:pPr>
        <w:ind w:left="840" w:hanging="840" w:hangingChars="30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10.3.4 操作流程详解</w:t>
      </w:r>
    </w:p>
    <w:p>
      <w:pPr>
        <w:ind w:firstLine="560" w:firstLineChars="200"/>
        <w:rPr>
          <w:rFonts w:hint="default"/>
          <w:sz w:val="30"/>
          <w:szCs w:val="30"/>
          <w:lang w:val="en-US" w:eastAsia="zh-CN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变更业务-内部转移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-转移查询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输入查询项，点击查询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3" o:spid="_x0000_s1073" type="#_x0000_t75" style="height:219.7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5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83" w:name="_Toc23152"/>
      <w:bookmarkStart w:id="84" w:name="_Toc10305"/>
      <w:r>
        <w:rPr>
          <w:rFonts w:hint="eastAsia"/>
          <w:lang w:val="en-US" w:eastAsia="zh-CN"/>
        </w:rPr>
        <w:t>11</w:t>
      </w:r>
      <w:r>
        <w:rPr>
          <w:rFonts w:hint="default"/>
        </w:rPr>
        <w:t>年度核定</w:t>
      </w:r>
      <w:bookmarkEnd w:id="83"/>
      <w:bookmarkEnd w:id="84"/>
    </w:p>
    <w:p>
      <w:pPr>
        <w:pStyle w:val="3"/>
        <w:rPr>
          <w:rFonts w:hint="default"/>
          <w:lang w:val="en-US" w:eastAsia="zh-CN"/>
        </w:rPr>
      </w:pPr>
      <w:bookmarkStart w:id="85" w:name="_Toc19358"/>
      <w:bookmarkStart w:id="86" w:name="_Toc31969"/>
      <w:r>
        <w:rPr>
          <w:rFonts w:hint="eastAsia"/>
          <w:lang w:val="en-US" w:eastAsia="zh-CN"/>
        </w:rPr>
        <w:t>11.1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年度核定</w:t>
      </w:r>
      <w:bookmarkEnd w:id="85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11.1.1</w:t>
      </w:r>
      <w:r>
        <w:rPr>
          <w:rFonts w:hint="default"/>
          <w:sz w:val="30"/>
          <w:szCs w:val="30"/>
          <w:lang w:val="en-US" w:eastAsia="zh-CN"/>
        </w:rPr>
        <w:t>功能介绍</w:t>
      </w:r>
      <w:bookmarkEnd w:id="86"/>
    </w:p>
    <w:p>
      <w:pPr>
        <w:ind w:left="0" w:leftChars="0" w:firstLine="0" w:firstLineChars="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单位应在汇缴每年7月份公积金前，为所有正常缴存职工办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理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年度核定</w:t>
      </w:r>
    </w:p>
    <w:p>
      <w:pPr>
        <w:rPr>
          <w:rFonts w:hint="eastAsia"/>
          <w:sz w:val="30"/>
          <w:szCs w:val="30"/>
          <w:lang w:val="en-US" w:eastAsia="zh-CN"/>
        </w:rPr>
      </w:pPr>
      <w:bookmarkStart w:id="87" w:name="_Toc2591"/>
      <w:r>
        <w:rPr>
          <w:rFonts w:hint="eastAsia"/>
          <w:sz w:val="30"/>
          <w:szCs w:val="30"/>
          <w:lang w:val="en-US" w:eastAsia="zh-CN"/>
        </w:rPr>
        <w:t>11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 输入项说明</w:t>
      </w:r>
      <w:bookmarkEnd w:id="87"/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清册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模板</w:t>
      </w:r>
    </w:p>
    <w:p>
      <w:pPr>
        <w:rPr>
          <w:rFonts w:hint="eastAsia"/>
          <w:sz w:val="30"/>
          <w:szCs w:val="30"/>
          <w:lang w:val="en-US" w:eastAsia="zh-CN"/>
        </w:rPr>
      </w:pPr>
      <w:bookmarkStart w:id="88" w:name="_Toc5543"/>
      <w:r>
        <w:rPr>
          <w:rFonts w:hint="eastAsia"/>
          <w:sz w:val="30"/>
          <w:szCs w:val="30"/>
          <w:lang w:val="en-US" w:eastAsia="zh-CN"/>
        </w:rPr>
        <w:t>11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 业务规则</w:t>
      </w:r>
      <w:bookmarkEnd w:id="88"/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1.每个公积金年度只允许办理一次年度核定</w:t>
      </w:r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2.每年6月份汇缴完成后方可办理下年度的年度核定</w:t>
      </w:r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3.年度核定须按年份连续办理，不可跨年度办理</w:t>
      </w:r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4.参与年度核定的人员为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缴至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当年6月所有正常汇缴职工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89" w:name="_Toc26235"/>
      <w:r>
        <w:rPr>
          <w:rFonts w:hint="eastAsia"/>
          <w:sz w:val="30"/>
          <w:szCs w:val="30"/>
          <w:lang w:val="en-US" w:eastAsia="zh-CN"/>
        </w:rPr>
        <w:t>11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 操作流程详解</w:t>
      </w:r>
      <w:bookmarkEnd w:id="89"/>
    </w:p>
    <w:p>
      <w:pPr>
        <w:ind w:left="840" w:hanging="840" w:hangingChars="300"/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变更业务-年度核定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--年度核定</w:t>
      </w:r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1.下载清册模板</w:t>
      </w:r>
    </w:p>
    <w:p>
      <w:p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4" o:spid="_x0000_s1074" type="#_x0000_t75" style="height:18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5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2.正确填写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内容</w: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11" o:spid="_x0000_s1075" type="#_x0000_t75" style="height:76.1pt;width:414.95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1632390177(1)" r:id="rId5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3.页面点击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上传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文件，文件上传成功后点击批量导入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清册中会显示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模板内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数据，核对无误后点击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全部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提交，完成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年度核定。若信息异常，可全部删除或单笔修改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4" o:spid="_x0000_s1076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4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.提交后，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在交易进度查询界面，查看业务办理是否成功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失败，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可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查看错误信息或下载报错文件</w:t>
      </w:r>
    </w:p>
    <w:p>
      <w:pPr>
        <w:pStyle w:val="3"/>
        <w:rPr>
          <w:rFonts w:hint="eastAsia"/>
          <w:lang w:val="en-US" w:eastAsia="zh-CN"/>
        </w:rPr>
      </w:pPr>
      <w:bookmarkStart w:id="90" w:name="_Toc12845"/>
      <w:bookmarkStart w:id="91" w:name="_Toc925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年度核定查询</w:t>
      </w:r>
      <w:bookmarkEnd w:id="90"/>
      <w:bookmarkEnd w:id="9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.5.1 功能介绍</w:t>
      </w:r>
    </w:p>
    <w:p>
      <w:pPr>
        <w:ind w:left="700" w:hanging="700" w:hangingChars="25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用于查询单位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年度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核定的记录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.5.2 输入项说明</w:t>
      </w:r>
    </w:p>
    <w:p>
      <w:pPr>
        <w:ind w:left="700" w:hanging="700" w:hangingChars="250"/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日期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5.3 业务规则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-US" w:eastAsia="zh-CN"/>
        </w:rPr>
        <w:t>.5.4 操作流程详解</w:t>
      </w:r>
    </w:p>
    <w:p>
      <w:pPr>
        <w:ind w:left="700" w:hanging="700" w:hangingChars="250"/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路径：变更业务-年度核定-年度核定查询</w:t>
      </w:r>
    </w:p>
    <w:p>
      <w:pPr>
        <w:ind w:left="700" w:hanging="700" w:hangingChars="25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输入查询条件，查看业务办理信息并下载凭证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6" o:spid="_x0000_s1077" type="#_x0000_t75" style="height:177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5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92" w:name="_Toc2877"/>
      <w:bookmarkStart w:id="93" w:name="_Toc19791"/>
      <w:r>
        <w:rPr>
          <w:rFonts w:hint="default"/>
        </w:rPr>
        <w:t>1</w:t>
      </w:r>
      <w:r>
        <w:rPr>
          <w:rFonts w:hint="eastAsia"/>
          <w:lang w:val="en-US" w:eastAsia="zh-CN"/>
        </w:rPr>
        <w:t>2</w:t>
      </w:r>
      <w:r>
        <w:rPr>
          <w:rFonts w:hint="default"/>
        </w:rPr>
        <w:t xml:space="preserve"> 汇缴核定</w:t>
      </w:r>
      <w:bookmarkEnd w:id="92"/>
      <w:bookmarkEnd w:id="93"/>
    </w:p>
    <w:p>
      <w:pPr>
        <w:pStyle w:val="3"/>
        <w:rPr>
          <w:rFonts w:hint="default"/>
          <w:lang w:val="en-US" w:eastAsia="zh-CN"/>
        </w:rPr>
      </w:pPr>
      <w:bookmarkStart w:id="94" w:name="_Toc10121"/>
      <w:bookmarkStart w:id="95" w:name="_Toc21335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.1汇缴核定</w:t>
      </w:r>
      <w:bookmarkEnd w:id="94"/>
      <w:bookmarkEnd w:id="95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.1.1 功能介绍</w:t>
      </w:r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缴存单位办理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职工开户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、封存启封、调整基数等变更业务后；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按月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核定缴存单位应缴金额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及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应缴人数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.1.2 输入项说明</w:t>
      </w:r>
    </w:p>
    <w:p>
      <w:pPr>
        <w:ind w:left="280" w:hanging="280" w:hangingChars="10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核定月份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.1.3 业务规则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1.单位缴存月份必须按月连续汇缴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2.每年7月的汇缴核定，应在年度核定完成后进行办理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.汇缴月份不能小于等于缴至月份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.根据变更情况系统自动统计当月单位应缴存额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5.其他业务规则及注意事项请参照中心公布的业务指南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.1.4 操作流程详解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缴存业务-汇缴核定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-汇缴核定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 xml:space="preserve">    1.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输入核定月份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点击保存</w:t>
      </w:r>
    </w:p>
    <w:p>
      <w:pPr>
        <w:rPr>
          <w:rFonts w:ascii="宋体" w:hAnsi="宋体" w:eastAsia="宋体"/>
          <w:b/>
          <w:color w:val="000000"/>
          <w:sz w:val="32"/>
          <w:szCs w:val="32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7" o:spid="_x0000_s1078" type="#_x0000_t75" style="height:144.6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5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2.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确认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缴存月份信息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无误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点击提交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8" o:spid="_x0000_s1079" type="#_x0000_t75" style="height:138.1pt;width:432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5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3" o:spid="_x0000_s1080" type="#_x0000_t75" style="height:113.8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5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Style w:val="25"/>
          <w:rFonts w:hint="default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3.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提交后，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在交易进度查询界面，查看业务办理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情况</w:t>
      </w:r>
    </w:p>
    <w:p>
      <w:pPr>
        <w:pStyle w:val="3"/>
        <w:rPr>
          <w:rFonts w:hint="default"/>
          <w:lang w:val="en-US" w:eastAsia="zh-CN"/>
        </w:rPr>
      </w:pPr>
      <w:bookmarkStart w:id="96" w:name="_Toc2140"/>
      <w:bookmarkStart w:id="97" w:name="_Toc12116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.2汇缴查询</w:t>
      </w:r>
      <w:bookmarkEnd w:id="96"/>
      <w:bookmarkEnd w:id="97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.2.1 功能介绍</w:t>
      </w:r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查询单位住房公积金汇缴业务办理情况，提供单位住房公积金汇缴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册、凭证的下载及打印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.2.2 输入项说明</w:t>
      </w:r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核定日期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.2.3 业务规则</w:t>
      </w:r>
    </w:p>
    <w:p>
      <w:pPr>
        <w:ind w:left="840" w:hanging="840" w:hangingChars="30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default"/>
          <w:sz w:val="30"/>
          <w:szCs w:val="30"/>
          <w:lang w:val="en-US" w:eastAsia="zh-CN"/>
        </w:rPr>
        <w:t>.2.4 操作流程详解</w:t>
      </w:r>
    </w:p>
    <w:p>
      <w:pPr>
        <w:ind w:left="840" w:hanging="840" w:hangingChars="3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缴存业务-汇缴核定-汇缴查询</w:t>
      </w:r>
    </w:p>
    <w:p>
      <w:pPr>
        <w:rPr>
          <w:rStyle w:val="25"/>
          <w:rFonts w:hint="default"/>
          <w:b/>
          <w:sz w:val="32"/>
          <w:szCs w:val="32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9" o:spid="_x0000_s1081" type="#_x0000_t75" style="height:183.9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5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98" w:name="_Toc44"/>
      <w:bookmarkStart w:id="99" w:name="_Toc19156"/>
      <w:r>
        <w:rPr>
          <w:rFonts w:hint="default"/>
        </w:rPr>
        <w:t>1</w:t>
      </w:r>
      <w:r>
        <w:rPr>
          <w:rFonts w:hint="eastAsia"/>
          <w:lang w:val="en-US" w:eastAsia="zh-CN"/>
        </w:rPr>
        <w:t>3</w:t>
      </w:r>
      <w:r>
        <w:rPr>
          <w:rFonts w:hint="default"/>
        </w:rPr>
        <w:t xml:space="preserve"> 补缴核定</w:t>
      </w:r>
      <w:bookmarkEnd w:id="98"/>
      <w:bookmarkEnd w:id="99"/>
    </w:p>
    <w:p>
      <w:pPr>
        <w:pStyle w:val="3"/>
        <w:rPr>
          <w:rFonts w:hint="default"/>
          <w:lang w:val="en-US" w:eastAsia="zh-CN"/>
        </w:rPr>
      </w:pPr>
      <w:bookmarkStart w:id="100" w:name="_Toc22422"/>
      <w:bookmarkStart w:id="101" w:name="_Toc15579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.1补缴核定（单笔）</w:t>
      </w:r>
      <w:bookmarkEnd w:id="100"/>
      <w:bookmarkEnd w:id="10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.1.1 功能介绍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缴存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补缴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职工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前期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漏缴、少缴的住房公积金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.1.2 输入项说明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1.姓名、账号、证件号码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任一项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2.补缴原因、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补缴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月份、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补缴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金额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.1.3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1.可办理本年度补缴，如补缴往年公积金的，须至中心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柜台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办理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2.补缴月份不得超过当前汇缴的缴至月份</w:t>
      </w:r>
    </w:p>
    <w:p>
      <w:pPr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3.月补缴金额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与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对应月份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已汇缴额合计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不能超过当年月缴存额上限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.1.4 操作流程详解</w:t>
      </w:r>
    </w:p>
    <w:p>
      <w:pPr>
        <w:rPr>
          <w:rStyle w:val="25"/>
          <w:rFonts w:hint="eastAsia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缴存业务-补缴核定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-补缴核定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1.通过姓名或证件号码或账号查找到需要补缴的职工，输入补缴原因、补缴月份、补缴金额后，点击添加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0" o:spid="_x0000_s1082" type="#_x0000_t75" style="height:147.35pt;width:432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2.添加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完成，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在补缴核定清册中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显示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补缴明细，确认无误后点击提交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。若信息异常，点击修改或取消补缴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5" o:spid="_x0000_s1083" type="#_x0000_t75" style="height:137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Style w:val="25"/>
          <w:rFonts w:hint="default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3.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提交后，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在交易进度查询界面，查看业务办理是否成功。若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失败，查看错误信息或下载报错文件</w:t>
      </w:r>
    </w:p>
    <w:p>
      <w:pPr>
        <w:pStyle w:val="3"/>
        <w:rPr>
          <w:rFonts w:hint="default"/>
          <w:lang w:val="en-US" w:eastAsia="zh-CN"/>
        </w:rPr>
      </w:pPr>
      <w:bookmarkStart w:id="102" w:name="_Toc11196"/>
      <w:bookmarkStart w:id="103" w:name="_Toc24671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.2补缴核定（批量）</w:t>
      </w:r>
      <w:bookmarkEnd w:id="102"/>
      <w:bookmarkEnd w:id="103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.2.1 功能介绍</w:t>
      </w:r>
    </w:p>
    <w:p>
      <w:pPr>
        <w:ind w:left="700" w:hanging="700" w:hangingChars="25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大批量补缴时通过批量导入功能实现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.2.2 输入项说明</w:t>
      </w:r>
    </w:p>
    <w:p>
      <w:pPr>
        <w:ind w:left="700" w:hanging="700" w:hangingChars="25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单位补缴填写样表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.2.3 业务规则</w:t>
      </w:r>
    </w:p>
    <w:p>
      <w:pPr>
        <w:ind w:left="700" w:hanging="700" w:hangingChars="25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同补缴核定（单笔）业务规则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.2.4 操作流程详解</w:t>
      </w:r>
    </w:p>
    <w:p>
      <w:pPr>
        <w:ind w:left="-18" w:leftChars="-9" w:firstLine="16" w:firstLineChars="6"/>
        <w:rPr>
          <w:rStyle w:val="25"/>
          <w:rFonts w:hint="eastAsia"/>
          <w:lang w:val="en-US" w:eastAsia="zh-CN"/>
        </w:rPr>
      </w:pPr>
      <w:r>
        <w:rPr>
          <w:rStyle w:val="25"/>
          <w:rFonts w:hint="eastAsia"/>
          <w:lang w:val="en-US" w:eastAsia="zh-CN"/>
        </w:rPr>
        <w:t xml:space="preserve">    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缴存业务-补缴核定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-补缴核定</w:t>
      </w:r>
    </w:p>
    <w:p>
      <w:pPr>
        <w:ind w:left="-18" w:leftChars="-9" w:firstLine="16" w:firstLineChars="6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1.下载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单位补缴填写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样表，完成表格后上传点击批量导入表格</w:t>
      </w:r>
    </w:p>
    <w:p>
      <w:p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6" o:spid="_x0000_s1084" type="#_x0000_t75" style="height:130.2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正确填写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内容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" o:spid="_x0000_s1085" type="#_x0000_t75" style="height:39.1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560" w:firstLineChars="200"/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页面点击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选择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文件，文件上传成功后点击批量导入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清册中会显示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模板内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数据，确认无误后点击提交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。若信息异常，点击修改或取消补缴</w:t>
      </w:r>
    </w:p>
    <w:p>
      <w:pPr>
        <w:numPr>
          <w:numId w:val="0"/>
        </w:numP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5" o:spid="_x0000_s1086" type="#_x0000_t75" style="height:137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4.后续步骤同补缴核定（单笔）操作</w:t>
      </w:r>
    </w:p>
    <w:p>
      <w:pPr>
        <w:pStyle w:val="3"/>
        <w:rPr>
          <w:rFonts w:hint="default"/>
          <w:lang w:val="en-US" w:eastAsia="zh-CN"/>
        </w:rPr>
      </w:pPr>
      <w:bookmarkStart w:id="104" w:name="_Toc6987"/>
      <w:bookmarkStart w:id="105" w:name="_Toc29562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.3补缴查询</w:t>
      </w:r>
      <w:bookmarkEnd w:id="104"/>
      <w:bookmarkEnd w:id="105"/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13.3.1 功能介绍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查询单位住房公积金补缴业务办理情况，提供单位住房公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金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补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缴清册、凭证的下载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.3.2 输入项说明</w:t>
      </w:r>
    </w:p>
    <w:p>
      <w:pPr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核定日期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.3.3 业务规则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06" w:name="_Toc22283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.3.4 操作流程详解</w:t>
      </w:r>
      <w:bookmarkEnd w:id="106"/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>路径：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缴存业务-补缴核定-补缴查询</w:t>
      </w:r>
    </w:p>
    <w:p>
      <w:pPr>
        <w:ind w:firstLine="56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输入查询项，查看业务办理信息，打印凭证或补缴清册</w:t>
      </w:r>
    </w:p>
    <w:p>
      <w:pPr>
        <w:ind w:left="1120" w:hanging="1120" w:hangingChars="400"/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3" o:spid="_x0000_s1087" type="#_x0000_t75" style="height:127.8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rPr>
          <w:rFonts w:hint="default"/>
        </w:rPr>
      </w:pPr>
      <w:bookmarkStart w:id="107" w:name="_Toc22834"/>
      <w:bookmarkStart w:id="108" w:name="_Toc16865"/>
      <w:r>
        <w:rPr>
          <w:rFonts w:hint="default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default"/>
        </w:rPr>
        <w:t xml:space="preserve"> 缴存办理</w:t>
      </w:r>
      <w:bookmarkEnd w:id="107"/>
      <w:bookmarkEnd w:id="108"/>
    </w:p>
    <w:p>
      <w:pPr>
        <w:pStyle w:val="3"/>
        <w:rPr>
          <w:rFonts w:hint="default"/>
          <w:lang w:val="en-US" w:eastAsia="zh-CN"/>
        </w:rPr>
      </w:pPr>
      <w:bookmarkStart w:id="109" w:name="_Toc29815"/>
      <w:bookmarkStart w:id="110" w:name="_Toc32120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default"/>
          <w:lang w:val="en-US" w:eastAsia="zh-CN"/>
        </w:rPr>
        <w:t>.1</w:t>
      </w:r>
      <w:bookmarkEnd w:id="109"/>
      <w:r>
        <w:rPr>
          <w:rFonts w:hint="eastAsia"/>
          <w:lang w:val="en-US" w:eastAsia="zh-CN"/>
        </w:rPr>
        <w:t>取消核定</w:t>
      </w:r>
      <w:bookmarkEnd w:id="110"/>
    </w:p>
    <w:p>
      <w:pPr>
        <w:rPr>
          <w:rFonts w:hint="default"/>
          <w:sz w:val="30"/>
          <w:szCs w:val="30"/>
          <w:lang w:val="en-US" w:eastAsia="zh-CN"/>
        </w:rPr>
      </w:pPr>
      <w:bookmarkStart w:id="111" w:name="_Toc14254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.1.1 功能介绍</w:t>
      </w:r>
      <w:bookmarkEnd w:id="111"/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可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取消汇缴核定、补缴核定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，也可以进行相关业务的凭证及清册下载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12" w:name="_Toc104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.1.2 输入项说明</w:t>
      </w:r>
      <w:bookmarkEnd w:id="112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13" w:name="_Toc15051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.1.3 业务规则</w:t>
      </w:r>
      <w:bookmarkEnd w:id="113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14" w:name="_Toc10972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default"/>
          <w:sz w:val="30"/>
          <w:szCs w:val="30"/>
          <w:lang w:val="en-US" w:eastAsia="zh-CN"/>
        </w:rPr>
        <w:t>.1.4 操作流程详解</w:t>
      </w:r>
      <w:bookmarkEnd w:id="114"/>
    </w:p>
    <w:p>
      <w:pPr>
        <w:ind w:firstLine="600" w:firstLineChars="200"/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路径：缴存业务-缴存办理</w:t>
      </w:r>
    </w:p>
    <w:p>
      <w:pPr>
        <w:ind w:firstLine="60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选择业务类型后，点击查询，可操作取消核定或凭证下载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7" o:spid="_x0000_s1088" type="#_x0000_t75" style="height:162.25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rPr>
          <w:rFonts w:hint="default"/>
        </w:rPr>
      </w:pPr>
      <w:bookmarkStart w:id="115" w:name="_Toc9775"/>
      <w:bookmarkStart w:id="116" w:name="_Toc23679"/>
      <w:r>
        <w:rPr>
          <w:rFonts w:hint="default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default"/>
        </w:rPr>
        <w:t xml:space="preserve"> 交易进度查询</w:t>
      </w:r>
      <w:bookmarkEnd w:id="115"/>
      <w:bookmarkEnd w:id="116"/>
    </w:p>
    <w:p>
      <w:pPr>
        <w:pStyle w:val="3"/>
        <w:rPr>
          <w:rFonts w:hint="default"/>
          <w:lang w:val="en-US" w:eastAsia="zh-CN"/>
        </w:rPr>
      </w:pPr>
      <w:bookmarkStart w:id="117" w:name="_Toc14198"/>
      <w:bookmarkStart w:id="118" w:name="_Toc5651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default"/>
          <w:lang w:val="en-US" w:eastAsia="zh-CN"/>
        </w:rPr>
        <w:t>.1</w:t>
      </w:r>
      <w:r>
        <w:rPr>
          <w:rFonts w:hint="eastAsia"/>
          <w:lang w:val="en-US" w:eastAsia="zh-CN"/>
        </w:rPr>
        <w:t>交易进度查询</w:t>
      </w:r>
      <w:bookmarkEnd w:id="117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15.1.1</w:t>
      </w:r>
      <w:r>
        <w:rPr>
          <w:rFonts w:hint="default"/>
          <w:sz w:val="30"/>
          <w:szCs w:val="30"/>
          <w:lang w:val="en-US" w:eastAsia="zh-CN"/>
        </w:rPr>
        <w:t>功能介绍</w:t>
      </w:r>
      <w:bookmarkEnd w:id="118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单位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提交的业务若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通过异步任务处理，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需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在交易查询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查看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处理结果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19" w:name="_Toc4993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5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2输入项说明</w:t>
      </w:r>
      <w:bookmarkEnd w:id="119"/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交易名称、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是否复核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办理时间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组合查询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20" w:name="_Toc7130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5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3业务规则</w:t>
      </w:r>
      <w:bookmarkEnd w:id="120"/>
    </w:p>
    <w:p>
      <w:pPr>
        <w:ind w:left="280" w:hanging="280" w:hangingChars="100"/>
        <w:rPr>
          <w:color w:val="000000"/>
          <w:sz w:val="28"/>
          <w:szCs w:val="28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查询异步任务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办理进程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21" w:name="_Toc2322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5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4操作流程详解</w:t>
      </w:r>
      <w:bookmarkEnd w:id="12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路径：交易查询-交易进度查询-交易查询</w:t>
      </w:r>
    </w:p>
    <w:p>
      <w:pPr>
        <w:ind w:left="280" w:hanging="280" w:hangingChars="1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输入查询项，点击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查询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查看办理进程</w:t>
      </w:r>
    </w:p>
    <w:p>
      <w:pPr>
        <w:ind w:left="525" w:hanging="525" w:hangingChars="250"/>
        <w:rPr>
          <w:rStyle w:val="25"/>
          <w:rFonts w:hint="default"/>
          <w:b/>
          <w:sz w:val="32"/>
          <w:szCs w:val="32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8" o:spid="_x0000_s1089" type="#_x0000_t75" style="height:213.7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rPr>
          <w:rFonts w:hint="default"/>
        </w:rPr>
      </w:pPr>
      <w:bookmarkStart w:id="122" w:name="_Toc22033"/>
      <w:bookmarkStart w:id="123" w:name="_Toc30241"/>
      <w:r>
        <w:rPr>
          <w:rFonts w:hint="default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default"/>
        </w:rPr>
        <w:t xml:space="preserve"> 交易结果查询</w:t>
      </w:r>
      <w:bookmarkEnd w:id="122"/>
      <w:bookmarkEnd w:id="123"/>
    </w:p>
    <w:p>
      <w:pPr>
        <w:pStyle w:val="3"/>
        <w:rPr>
          <w:rFonts w:hint="default"/>
          <w:lang w:val="en-US" w:eastAsia="zh-CN"/>
        </w:rPr>
      </w:pPr>
      <w:bookmarkStart w:id="124" w:name="_Toc25691"/>
      <w:bookmarkStart w:id="125" w:name="_Toc31439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default"/>
          <w:lang w:val="en-US" w:eastAsia="zh-CN"/>
        </w:rPr>
        <w:t>.1</w:t>
      </w:r>
      <w:r>
        <w:rPr>
          <w:rFonts w:hint="eastAsia"/>
          <w:lang w:val="en-US" w:eastAsia="zh-CN"/>
        </w:rPr>
        <w:t>交易结果查询</w:t>
      </w:r>
      <w:bookmarkEnd w:id="124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16.1.1</w:t>
      </w:r>
      <w:r>
        <w:rPr>
          <w:rFonts w:hint="default"/>
          <w:sz w:val="30"/>
          <w:szCs w:val="30"/>
          <w:lang w:val="en-US" w:eastAsia="zh-CN"/>
        </w:rPr>
        <w:t>功能介绍</w:t>
      </w:r>
      <w:bookmarkEnd w:id="125"/>
    </w:p>
    <w:p>
      <w:pPr>
        <w:ind w:left="0" w:leftChars="0" w:firstLine="0" w:firstLineChars="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交易结果查询是对办理结果的体现，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查询业务办理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26" w:name="_Toc19538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2输入项说明</w:t>
      </w:r>
      <w:bookmarkEnd w:id="126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交易名称、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办理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时间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27" w:name="_Toc12229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3业务规则</w:t>
      </w:r>
      <w:bookmarkEnd w:id="127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28" w:name="_Toc30695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4操作流程详解</w:t>
      </w:r>
      <w:bookmarkEnd w:id="128"/>
    </w:p>
    <w:p>
      <w:pPr>
        <w:ind w:firstLine="600" w:firstLineChars="200"/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路径：交易查询-交易结果查询</w:t>
      </w:r>
    </w:p>
    <w:p>
      <w:pPr>
        <w:ind w:firstLine="600" w:firstLineChars="200"/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输入查询项，点击查询查看业务办理结果</w:t>
      </w:r>
    </w:p>
    <w:p>
      <w:pPr>
        <w:rPr>
          <w:rStyle w:val="25"/>
          <w:rFonts w:hint="default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9" o:spid="_x0000_s1090" type="#_x0000_t75" style="height:205.4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rPr>
          <w:rFonts w:hint="default"/>
        </w:rPr>
      </w:pPr>
      <w:bookmarkStart w:id="129" w:name="_Toc6334"/>
      <w:bookmarkStart w:id="130" w:name="_Toc4140"/>
      <w:r>
        <w:rPr>
          <w:rFonts w:hint="default"/>
        </w:rPr>
        <w:t>1</w:t>
      </w:r>
      <w:r>
        <w:rPr>
          <w:rFonts w:hint="eastAsia"/>
          <w:lang w:val="en-US" w:eastAsia="zh-CN"/>
        </w:rPr>
        <w:t>7</w:t>
      </w:r>
      <w:r>
        <w:rPr>
          <w:rFonts w:hint="default"/>
        </w:rPr>
        <w:t xml:space="preserve"> 咨询建议</w:t>
      </w:r>
      <w:bookmarkEnd w:id="129"/>
      <w:bookmarkEnd w:id="130"/>
    </w:p>
    <w:p>
      <w:pPr>
        <w:pStyle w:val="3"/>
        <w:rPr>
          <w:rFonts w:hint="default"/>
          <w:lang w:val="en-US" w:eastAsia="zh-CN"/>
        </w:rPr>
      </w:pPr>
      <w:bookmarkStart w:id="131" w:name="_Toc2480"/>
      <w:bookmarkStart w:id="132" w:name="_Toc6264"/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7</w:t>
      </w:r>
      <w:r>
        <w:rPr>
          <w:rFonts w:hint="default"/>
          <w:lang w:val="en-US" w:eastAsia="zh-CN"/>
        </w:rPr>
        <w:t>.1</w:t>
      </w:r>
      <w:r>
        <w:rPr>
          <w:rFonts w:hint="eastAsia"/>
          <w:lang w:val="en-US" w:eastAsia="zh-CN"/>
        </w:rPr>
        <w:t>咨询建议</w:t>
      </w:r>
      <w:bookmarkEnd w:id="131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17.1.1</w:t>
      </w:r>
      <w:r>
        <w:rPr>
          <w:rFonts w:hint="default"/>
          <w:sz w:val="30"/>
          <w:szCs w:val="30"/>
          <w:lang w:val="en-US" w:eastAsia="zh-CN"/>
        </w:rPr>
        <w:t>功能介绍</w:t>
      </w:r>
      <w:bookmarkEnd w:id="132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咨询建议是指单位可以通过该页面进行政策咨询、业务投诉，也可以提出相关建议。中心安排专业人员给予客户答复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33" w:name="_Toc18617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7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2输入项说明</w:t>
      </w:r>
      <w:bookmarkEnd w:id="133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34" w:name="_Toc26389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7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3业务规则</w:t>
      </w:r>
      <w:bookmarkEnd w:id="134"/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135" w:name="_Toc1624"/>
      <w:r>
        <w:rPr>
          <w:rFonts w:hint="default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val="en-US" w:eastAsia="zh-CN"/>
        </w:rPr>
        <w:t>7</w:t>
      </w:r>
      <w:r>
        <w:rPr>
          <w:rFonts w:hint="default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default"/>
          <w:sz w:val="30"/>
          <w:szCs w:val="30"/>
          <w:lang w:val="en-US" w:eastAsia="zh-CN"/>
        </w:rPr>
        <w:t>4操作流程详解</w:t>
      </w:r>
      <w:bookmarkEnd w:id="135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路径：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咨询建议</w: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7"/>
          <w:rFonts w:hint="eastAsia"/>
          <w:lang w:val="en-US" w:eastAsia="zh-CN"/>
        </w:rPr>
        <w:t xml:space="preserve">   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1.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选择咨询类型，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在页面中输入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CN" w:bidi="ar-SA"/>
        </w:rPr>
        <w:t>问题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后提交</w:t>
      </w:r>
    </w:p>
    <w:p>
      <w:pPr>
        <w:rPr>
          <w:color w:val="000000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4" o:spid="_x0000_s1091" type="#_x0000_t75" style="height:162.4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Style w:val="25"/>
          <w:rFonts w:hint="eastAsia"/>
          <w:lang w:val="en-US" w:eastAsia="zh-CN"/>
        </w:rPr>
        <w:t xml:space="preserve">   </w:t>
      </w:r>
      <w:r>
        <w:rPr>
          <w:rFonts w:hint="eastAsia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="Calibri" w:hAnsi="Calibri" w:eastAsia="宋体"/>
          <w:b w:val="0"/>
          <w:bCs w:val="0"/>
          <w:kern w:val="2"/>
          <w:sz w:val="28"/>
          <w:szCs w:val="28"/>
          <w:lang w:val="en-US" w:eastAsia="zh-CN" w:bidi="ar-SA"/>
        </w:rPr>
        <w:t>2.单位可以在历史消息中查询到答复内容</w:t>
      </w:r>
    </w:p>
    <w:p>
      <w:bookmarkStart w:id="136" w:name="_Toc25213"/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5" o:spid="_x0000_s1092" type="#_x0000_t75" style="height:159.2pt;width:415.3pt;rotation:0f;" o:ole="f" fillcolor="#FFFFFF" filled="f" o:preferrelative="t" stroked="t" coordorigin="0,0" coordsize="21600,21600">
            <v:fill on="f" color2="#FFFFFF" o:opacity2="100%" focus="0%"/>
            <v:stroke color="#99CCFF" color2="#FFFFFF" miterlimit="2"/>
            <v:imagedata gain="65536f" blacklevel="0f" gamma="0" o:title="" r:id="rId69"/>
            <o:lock v:ext="edit" position="f" selection="f" grouping="f" rotation="f" cropping="f" text="f" aspectratio="t"/>
            <w10:wrap type="none"/>
            <w10:anchorlock/>
          </v:shape>
        </w:pict>
      </w:r>
      <w:bookmarkEnd w:id="136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32466360">
    <w:nsid w:val="614D75B8"/>
    <w:multiLevelType w:val="singleLevel"/>
    <w:tmpl w:val="614D75B8"/>
    <w:lvl w:ilvl="0" w:tentative="1">
      <w:start w:val="3"/>
      <w:numFmt w:val="decimal"/>
      <w:suff w:val="nothing"/>
      <w:lvlText w:val="%1."/>
      <w:lvlJc w:val="left"/>
    </w:lvl>
  </w:abstractNum>
  <w:abstractNum w:abstractNumId="1632390552">
    <w:nsid w:val="614C4D98"/>
    <w:multiLevelType w:val="singleLevel"/>
    <w:tmpl w:val="614C4D98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632390552"/>
  </w:num>
  <w:num w:numId="2">
    <w:abstractNumId w:val="16324663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B91FA8"/>
    <w:rsid w:val="0000017D"/>
    <w:rsid w:val="0000127D"/>
    <w:rsid w:val="00001773"/>
    <w:rsid w:val="00002350"/>
    <w:rsid w:val="00005004"/>
    <w:rsid w:val="00005531"/>
    <w:rsid w:val="00006D54"/>
    <w:rsid w:val="00006E33"/>
    <w:rsid w:val="000141E7"/>
    <w:rsid w:val="00014DBB"/>
    <w:rsid w:val="00025457"/>
    <w:rsid w:val="0002653A"/>
    <w:rsid w:val="00026FF2"/>
    <w:rsid w:val="00030E51"/>
    <w:rsid w:val="00041C2F"/>
    <w:rsid w:val="000434F1"/>
    <w:rsid w:val="00044549"/>
    <w:rsid w:val="000450B2"/>
    <w:rsid w:val="00045468"/>
    <w:rsid w:val="000464C9"/>
    <w:rsid w:val="00051856"/>
    <w:rsid w:val="00054D9A"/>
    <w:rsid w:val="00056F75"/>
    <w:rsid w:val="00057E1D"/>
    <w:rsid w:val="000602BE"/>
    <w:rsid w:val="000626A6"/>
    <w:rsid w:val="00063BC5"/>
    <w:rsid w:val="00063C5D"/>
    <w:rsid w:val="0006510B"/>
    <w:rsid w:val="00065B69"/>
    <w:rsid w:val="00070741"/>
    <w:rsid w:val="00074B46"/>
    <w:rsid w:val="00075CCA"/>
    <w:rsid w:val="00077F02"/>
    <w:rsid w:val="0008021B"/>
    <w:rsid w:val="0008474F"/>
    <w:rsid w:val="00086359"/>
    <w:rsid w:val="00086F96"/>
    <w:rsid w:val="0008737C"/>
    <w:rsid w:val="000906B6"/>
    <w:rsid w:val="00093976"/>
    <w:rsid w:val="00094888"/>
    <w:rsid w:val="00095878"/>
    <w:rsid w:val="00097BE5"/>
    <w:rsid w:val="000A0BAE"/>
    <w:rsid w:val="000A0F22"/>
    <w:rsid w:val="000A35B7"/>
    <w:rsid w:val="000A35FA"/>
    <w:rsid w:val="000A6594"/>
    <w:rsid w:val="000A6E03"/>
    <w:rsid w:val="000A7C64"/>
    <w:rsid w:val="000B1A34"/>
    <w:rsid w:val="000B311A"/>
    <w:rsid w:val="000B5344"/>
    <w:rsid w:val="000B5582"/>
    <w:rsid w:val="000B66C6"/>
    <w:rsid w:val="000C2273"/>
    <w:rsid w:val="000C4339"/>
    <w:rsid w:val="000C43B8"/>
    <w:rsid w:val="000C586C"/>
    <w:rsid w:val="000C689E"/>
    <w:rsid w:val="000C70A0"/>
    <w:rsid w:val="000C7733"/>
    <w:rsid w:val="000D0596"/>
    <w:rsid w:val="000D23FF"/>
    <w:rsid w:val="000D3244"/>
    <w:rsid w:val="000D34B8"/>
    <w:rsid w:val="000D4608"/>
    <w:rsid w:val="000D485F"/>
    <w:rsid w:val="000D5AE3"/>
    <w:rsid w:val="000D5FBA"/>
    <w:rsid w:val="000E5758"/>
    <w:rsid w:val="000F180E"/>
    <w:rsid w:val="000F272F"/>
    <w:rsid w:val="000F2E1D"/>
    <w:rsid w:val="000F61BF"/>
    <w:rsid w:val="000F6998"/>
    <w:rsid w:val="00103B25"/>
    <w:rsid w:val="0011444C"/>
    <w:rsid w:val="00116BE5"/>
    <w:rsid w:val="001178AB"/>
    <w:rsid w:val="001201BC"/>
    <w:rsid w:val="001221AD"/>
    <w:rsid w:val="0012350D"/>
    <w:rsid w:val="00123D2B"/>
    <w:rsid w:val="00124C0B"/>
    <w:rsid w:val="00130870"/>
    <w:rsid w:val="0013180F"/>
    <w:rsid w:val="001331A6"/>
    <w:rsid w:val="00135ADD"/>
    <w:rsid w:val="00141510"/>
    <w:rsid w:val="00141DF5"/>
    <w:rsid w:val="001443F2"/>
    <w:rsid w:val="00144D36"/>
    <w:rsid w:val="001454AA"/>
    <w:rsid w:val="00146F56"/>
    <w:rsid w:val="00151FD2"/>
    <w:rsid w:val="0015291B"/>
    <w:rsid w:val="001538E1"/>
    <w:rsid w:val="0015395E"/>
    <w:rsid w:val="00154CD7"/>
    <w:rsid w:val="00156B7F"/>
    <w:rsid w:val="00157589"/>
    <w:rsid w:val="0016109A"/>
    <w:rsid w:val="00161D39"/>
    <w:rsid w:val="00163079"/>
    <w:rsid w:val="00164910"/>
    <w:rsid w:val="001669B7"/>
    <w:rsid w:val="0016757A"/>
    <w:rsid w:val="00175D96"/>
    <w:rsid w:val="00177C5E"/>
    <w:rsid w:val="00180306"/>
    <w:rsid w:val="00182236"/>
    <w:rsid w:val="0018548B"/>
    <w:rsid w:val="00185F68"/>
    <w:rsid w:val="00191E8C"/>
    <w:rsid w:val="00192BB0"/>
    <w:rsid w:val="001930B3"/>
    <w:rsid w:val="0019429E"/>
    <w:rsid w:val="00195404"/>
    <w:rsid w:val="0019619D"/>
    <w:rsid w:val="001A0769"/>
    <w:rsid w:val="001A399F"/>
    <w:rsid w:val="001B10FA"/>
    <w:rsid w:val="001B13B3"/>
    <w:rsid w:val="001B1AA3"/>
    <w:rsid w:val="001B389E"/>
    <w:rsid w:val="001B54C1"/>
    <w:rsid w:val="001B62E1"/>
    <w:rsid w:val="001B685B"/>
    <w:rsid w:val="001C34DA"/>
    <w:rsid w:val="001C7D0E"/>
    <w:rsid w:val="001D323C"/>
    <w:rsid w:val="001D3946"/>
    <w:rsid w:val="001D3D41"/>
    <w:rsid w:val="001E5A7E"/>
    <w:rsid w:val="001E654A"/>
    <w:rsid w:val="001E7300"/>
    <w:rsid w:val="001F3705"/>
    <w:rsid w:val="001F65BF"/>
    <w:rsid w:val="00207C96"/>
    <w:rsid w:val="002115B0"/>
    <w:rsid w:val="00215289"/>
    <w:rsid w:val="002174B5"/>
    <w:rsid w:val="002203C7"/>
    <w:rsid w:val="00221B4A"/>
    <w:rsid w:val="0023212B"/>
    <w:rsid w:val="002334D0"/>
    <w:rsid w:val="00235B51"/>
    <w:rsid w:val="002369A1"/>
    <w:rsid w:val="00237206"/>
    <w:rsid w:val="00244086"/>
    <w:rsid w:val="00245FC3"/>
    <w:rsid w:val="00251255"/>
    <w:rsid w:val="002535F0"/>
    <w:rsid w:val="00254FA5"/>
    <w:rsid w:val="00256DCC"/>
    <w:rsid w:val="00257BEE"/>
    <w:rsid w:val="002600F4"/>
    <w:rsid w:val="002619BC"/>
    <w:rsid w:val="00262BD3"/>
    <w:rsid w:val="00266046"/>
    <w:rsid w:val="002667B6"/>
    <w:rsid w:val="00271351"/>
    <w:rsid w:val="0027242E"/>
    <w:rsid w:val="00273DEE"/>
    <w:rsid w:val="0028102A"/>
    <w:rsid w:val="00285260"/>
    <w:rsid w:val="00286B8F"/>
    <w:rsid w:val="0029038D"/>
    <w:rsid w:val="00292B19"/>
    <w:rsid w:val="00292EFE"/>
    <w:rsid w:val="002931EE"/>
    <w:rsid w:val="002936F7"/>
    <w:rsid w:val="00296973"/>
    <w:rsid w:val="002A2F90"/>
    <w:rsid w:val="002A4B08"/>
    <w:rsid w:val="002A56F7"/>
    <w:rsid w:val="002A5805"/>
    <w:rsid w:val="002A5D70"/>
    <w:rsid w:val="002B15C0"/>
    <w:rsid w:val="002B2AE2"/>
    <w:rsid w:val="002B37E3"/>
    <w:rsid w:val="002B6E81"/>
    <w:rsid w:val="002C0262"/>
    <w:rsid w:val="002C06B1"/>
    <w:rsid w:val="002C1A6A"/>
    <w:rsid w:val="002C7F99"/>
    <w:rsid w:val="002D0DF6"/>
    <w:rsid w:val="002D4320"/>
    <w:rsid w:val="002D506F"/>
    <w:rsid w:val="002D52CA"/>
    <w:rsid w:val="002E1034"/>
    <w:rsid w:val="002E1C21"/>
    <w:rsid w:val="002E5C95"/>
    <w:rsid w:val="002E5D54"/>
    <w:rsid w:val="002F3787"/>
    <w:rsid w:val="002F53B7"/>
    <w:rsid w:val="002F5670"/>
    <w:rsid w:val="00301F16"/>
    <w:rsid w:val="00303031"/>
    <w:rsid w:val="003031FD"/>
    <w:rsid w:val="00306A0F"/>
    <w:rsid w:val="00307385"/>
    <w:rsid w:val="00307CEB"/>
    <w:rsid w:val="0032276C"/>
    <w:rsid w:val="00322EDB"/>
    <w:rsid w:val="003314A3"/>
    <w:rsid w:val="00336BBF"/>
    <w:rsid w:val="0034123E"/>
    <w:rsid w:val="0034465A"/>
    <w:rsid w:val="00350551"/>
    <w:rsid w:val="00350ECC"/>
    <w:rsid w:val="00355B87"/>
    <w:rsid w:val="003564F7"/>
    <w:rsid w:val="0035681E"/>
    <w:rsid w:val="003609A5"/>
    <w:rsid w:val="00361A90"/>
    <w:rsid w:val="003637DA"/>
    <w:rsid w:val="00366F06"/>
    <w:rsid w:val="003706C5"/>
    <w:rsid w:val="00371808"/>
    <w:rsid w:val="00372529"/>
    <w:rsid w:val="00372857"/>
    <w:rsid w:val="00373C85"/>
    <w:rsid w:val="0037503B"/>
    <w:rsid w:val="003776D5"/>
    <w:rsid w:val="00380EF4"/>
    <w:rsid w:val="003810E7"/>
    <w:rsid w:val="003846D8"/>
    <w:rsid w:val="003874C0"/>
    <w:rsid w:val="003875CA"/>
    <w:rsid w:val="00391CED"/>
    <w:rsid w:val="00392AF7"/>
    <w:rsid w:val="00394ED7"/>
    <w:rsid w:val="00396917"/>
    <w:rsid w:val="003975EC"/>
    <w:rsid w:val="003A1CDC"/>
    <w:rsid w:val="003A2411"/>
    <w:rsid w:val="003A2AD0"/>
    <w:rsid w:val="003A44D0"/>
    <w:rsid w:val="003A7770"/>
    <w:rsid w:val="003B0001"/>
    <w:rsid w:val="003B0996"/>
    <w:rsid w:val="003B1FCB"/>
    <w:rsid w:val="003B2523"/>
    <w:rsid w:val="003B4323"/>
    <w:rsid w:val="003B44E5"/>
    <w:rsid w:val="003B578A"/>
    <w:rsid w:val="003C618E"/>
    <w:rsid w:val="003D40CA"/>
    <w:rsid w:val="003D7AB0"/>
    <w:rsid w:val="003E2872"/>
    <w:rsid w:val="003E34D4"/>
    <w:rsid w:val="003E38BE"/>
    <w:rsid w:val="003E38F8"/>
    <w:rsid w:val="003E3F65"/>
    <w:rsid w:val="003E5018"/>
    <w:rsid w:val="003E502C"/>
    <w:rsid w:val="003E553A"/>
    <w:rsid w:val="003E692F"/>
    <w:rsid w:val="003F121F"/>
    <w:rsid w:val="003F20D7"/>
    <w:rsid w:val="004002F8"/>
    <w:rsid w:val="00402310"/>
    <w:rsid w:val="00405DAE"/>
    <w:rsid w:val="0040611E"/>
    <w:rsid w:val="00406466"/>
    <w:rsid w:val="00407AE6"/>
    <w:rsid w:val="00411A05"/>
    <w:rsid w:val="00412D4A"/>
    <w:rsid w:val="0041380E"/>
    <w:rsid w:val="0041577E"/>
    <w:rsid w:val="00416C0B"/>
    <w:rsid w:val="004257FC"/>
    <w:rsid w:val="00427364"/>
    <w:rsid w:val="004301E5"/>
    <w:rsid w:val="004366C8"/>
    <w:rsid w:val="00437A86"/>
    <w:rsid w:val="00440854"/>
    <w:rsid w:val="00443AB7"/>
    <w:rsid w:val="0044505A"/>
    <w:rsid w:val="00447F42"/>
    <w:rsid w:val="0045202B"/>
    <w:rsid w:val="00455D30"/>
    <w:rsid w:val="00460FA0"/>
    <w:rsid w:val="004677BA"/>
    <w:rsid w:val="00472F8E"/>
    <w:rsid w:val="004732E7"/>
    <w:rsid w:val="00473E41"/>
    <w:rsid w:val="00475504"/>
    <w:rsid w:val="004764D9"/>
    <w:rsid w:val="00476567"/>
    <w:rsid w:val="00483ADC"/>
    <w:rsid w:val="00485756"/>
    <w:rsid w:val="00486BD7"/>
    <w:rsid w:val="004914E7"/>
    <w:rsid w:val="00494741"/>
    <w:rsid w:val="004958CE"/>
    <w:rsid w:val="004963FE"/>
    <w:rsid w:val="00497D62"/>
    <w:rsid w:val="004A3FCA"/>
    <w:rsid w:val="004A46C9"/>
    <w:rsid w:val="004A4764"/>
    <w:rsid w:val="004A4ABD"/>
    <w:rsid w:val="004A4E65"/>
    <w:rsid w:val="004A7BF8"/>
    <w:rsid w:val="004B725A"/>
    <w:rsid w:val="004C0696"/>
    <w:rsid w:val="004C1689"/>
    <w:rsid w:val="004C3CAF"/>
    <w:rsid w:val="004C3F7A"/>
    <w:rsid w:val="004D008B"/>
    <w:rsid w:val="004D0115"/>
    <w:rsid w:val="004D2465"/>
    <w:rsid w:val="004D4523"/>
    <w:rsid w:val="004D4569"/>
    <w:rsid w:val="004D499B"/>
    <w:rsid w:val="004D5314"/>
    <w:rsid w:val="004D7E77"/>
    <w:rsid w:val="004E3099"/>
    <w:rsid w:val="004E4EB2"/>
    <w:rsid w:val="004E69EE"/>
    <w:rsid w:val="004E7F58"/>
    <w:rsid w:val="004F0145"/>
    <w:rsid w:val="004F1A4D"/>
    <w:rsid w:val="00501B1E"/>
    <w:rsid w:val="00502152"/>
    <w:rsid w:val="005042A8"/>
    <w:rsid w:val="00504D8D"/>
    <w:rsid w:val="00505752"/>
    <w:rsid w:val="0051066A"/>
    <w:rsid w:val="00513EAC"/>
    <w:rsid w:val="005148BC"/>
    <w:rsid w:val="005247EF"/>
    <w:rsid w:val="0052541F"/>
    <w:rsid w:val="00527D87"/>
    <w:rsid w:val="00532BBF"/>
    <w:rsid w:val="00533310"/>
    <w:rsid w:val="00533CC6"/>
    <w:rsid w:val="00536DF6"/>
    <w:rsid w:val="00537698"/>
    <w:rsid w:val="00541230"/>
    <w:rsid w:val="00543AC8"/>
    <w:rsid w:val="00543D3E"/>
    <w:rsid w:val="00547388"/>
    <w:rsid w:val="0055181D"/>
    <w:rsid w:val="005529F4"/>
    <w:rsid w:val="00553E41"/>
    <w:rsid w:val="00553F15"/>
    <w:rsid w:val="005547E2"/>
    <w:rsid w:val="00560EF4"/>
    <w:rsid w:val="0056233C"/>
    <w:rsid w:val="005628C8"/>
    <w:rsid w:val="005643AE"/>
    <w:rsid w:val="005651B7"/>
    <w:rsid w:val="00565D64"/>
    <w:rsid w:val="00567C15"/>
    <w:rsid w:val="0057047F"/>
    <w:rsid w:val="005711F0"/>
    <w:rsid w:val="00572149"/>
    <w:rsid w:val="00576AA2"/>
    <w:rsid w:val="005771B6"/>
    <w:rsid w:val="00577557"/>
    <w:rsid w:val="0057780F"/>
    <w:rsid w:val="005805CF"/>
    <w:rsid w:val="00580AA7"/>
    <w:rsid w:val="005839B3"/>
    <w:rsid w:val="0058536E"/>
    <w:rsid w:val="00586B22"/>
    <w:rsid w:val="0058788E"/>
    <w:rsid w:val="005919ED"/>
    <w:rsid w:val="00597A0E"/>
    <w:rsid w:val="005A17FE"/>
    <w:rsid w:val="005A36B4"/>
    <w:rsid w:val="005A490C"/>
    <w:rsid w:val="005A4E4C"/>
    <w:rsid w:val="005A6904"/>
    <w:rsid w:val="005B10B8"/>
    <w:rsid w:val="005B6B19"/>
    <w:rsid w:val="005C0688"/>
    <w:rsid w:val="005C34FC"/>
    <w:rsid w:val="005C5549"/>
    <w:rsid w:val="005C7EFB"/>
    <w:rsid w:val="005D2066"/>
    <w:rsid w:val="005D41B4"/>
    <w:rsid w:val="005D472E"/>
    <w:rsid w:val="005D62BD"/>
    <w:rsid w:val="005E11CE"/>
    <w:rsid w:val="005E282D"/>
    <w:rsid w:val="005E465B"/>
    <w:rsid w:val="005E48C2"/>
    <w:rsid w:val="005E5E02"/>
    <w:rsid w:val="005E65ED"/>
    <w:rsid w:val="005E6CC5"/>
    <w:rsid w:val="005F3366"/>
    <w:rsid w:val="005F68D4"/>
    <w:rsid w:val="005F76C1"/>
    <w:rsid w:val="00601D2C"/>
    <w:rsid w:val="00602913"/>
    <w:rsid w:val="00603B51"/>
    <w:rsid w:val="00604415"/>
    <w:rsid w:val="006071F3"/>
    <w:rsid w:val="0061114E"/>
    <w:rsid w:val="006125BE"/>
    <w:rsid w:val="00612E75"/>
    <w:rsid w:val="00613622"/>
    <w:rsid w:val="00615854"/>
    <w:rsid w:val="006169E2"/>
    <w:rsid w:val="00620826"/>
    <w:rsid w:val="00622FE7"/>
    <w:rsid w:val="00623E14"/>
    <w:rsid w:val="00626FD7"/>
    <w:rsid w:val="0063246A"/>
    <w:rsid w:val="0063586C"/>
    <w:rsid w:val="006369A3"/>
    <w:rsid w:val="00641384"/>
    <w:rsid w:val="00641E36"/>
    <w:rsid w:val="00645C5A"/>
    <w:rsid w:val="00646DF2"/>
    <w:rsid w:val="00651E67"/>
    <w:rsid w:val="00651EDA"/>
    <w:rsid w:val="00651F4A"/>
    <w:rsid w:val="0065277E"/>
    <w:rsid w:val="00656F32"/>
    <w:rsid w:val="006622E2"/>
    <w:rsid w:val="006668D9"/>
    <w:rsid w:val="006669B9"/>
    <w:rsid w:val="00671746"/>
    <w:rsid w:val="00675895"/>
    <w:rsid w:val="00676668"/>
    <w:rsid w:val="00680953"/>
    <w:rsid w:val="00681626"/>
    <w:rsid w:val="00681F7B"/>
    <w:rsid w:val="00684B4B"/>
    <w:rsid w:val="0069139A"/>
    <w:rsid w:val="00691A36"/>
    <w:rsid w:val="00693141"/>
    <w:rsid w:val="00693D51"/>
    <w:rsid w:val="00694465"/>
    <w:rsid w:val="00694775"/>
    <w:rsid w:val="006A195F"/>
    <w:rsid w:val="006A1A9C"/>
    <w:rsid w:val="006B1D44"/>
    <w:rsid w:val="006B466C"/>
    <w:rsid w:val="006C0427"/>
    <w:rsid w:val="006C0737"/>
    <w:rsid w:val="006C4C86"/>
    <w:rsid w:val="006D2EC6"/>
    <w:rsid w:val="006D3194"/>
    <w:rsid w:val="006D4564"/>
    <w:rsid w:val="006D51D8"/>
    <w:rsid w:val="006D62EF"/>
    <w:rsid w:val="006E2852"/>
    <w:rsid w:val="006E435B"/>
    <w:rsid w:val="006E4E84"/>
    <w:rsid w:val="006E5FAD"/>
    <w:rsid w:val="006E6F66"/>
    <w:rsid w:val="006E7225"/>
    <w:rsid w:val="006F0C10"/>
    <w:rsid w:val="006F2C4D"/>
    <w:rsid w:val="006F2D46"/>
    <w:rsid w:val="006F2DEA"/>
    <w:rsid w:val="006F6347"/>
    <w:rsid w:val="006F739C"/>
    <w:rsid w:val="006F7B5D"/>
    <w:rsid w:val="00700765"/>
    <w:rsid w:val="00700F9D"/>
    <w:rsid w:val="0070257F"/>
    <w:rsid w:val="0070347E"/>
    <w:rsid w:val="007038F3"/>
    <w:rsid w:val="00703904"/>
    <w:rsid w:val="007065BC"/>
    <w:rsid w:val="007071B1"/>
    <w:rsid w:val="00710B9E"/>
    <w:rsid w:val="00712EBF"/>
    <w:rsid w:val="00717A4D"/>
    <w:rsid w:val="007206BA"/>
    <w:rsid w:val="00723360"/>
    <w:rsid w:val="00727040"/>
    <w:rsid w:val="007312CC"/>
    <w:rsid w:val="00735A6E"/>
    <w:rsid w:val="00740804"/>
    <w:rsid w:val="007450E0"/>
    <w:rsid w:val="00746B09"/>
    <w:rsid w:val="00752F01"/>
    <w:rsid w:val="0075381C"/>
    <w:rsid w:val="00753F82"/>
    <w:rsid w:val="00755726"/>
    <w:rsid w:val="007575F7"/>
    <w:rsid w:val="00761EE4"/>
    <w:rsid w:val="0076308A"/>
    <w:rsid w:val="00763131"/>
    <w:rsid w:val="007668BD"/>
    <w:rsid w:val="00766D28"/>
    <w:rsid w:val="00767B1D"/>
    <w:rsid w:val="00772FEE"/>
    <w:rsid w:val="0077422E"/>
    <w:rsid w:val="00775AA0"/>
    <w:rsid w:val="00775EAD"/>
    <w:rsid w:val="00785994"/>
    <w:rsid w:val="00786023"/>
    <w:rsid w:val="007909B5"/>
    <w:rsid w:val="0079494A"/>
    <w:rsid w:val="00795B1C"/>
    <w:rsid w:val="0079684A"/>
    <w:rsid w:val="007A1EC7"/>
    <w:rsid w:val="007A28B8"/>
    <w:rsid w:val="007A6766"/>
    <w:rsid w:val="007B1F84"/>
    <w:rsid w:val="007B74E0"/>
    <w:rsid w:val="007B7A58"/>
    <w:rsid w:val="007C0433"/>
    <w:rsid w:val="007C56D9"/>
    <w:rsid w:val="007C7D96"/>
    <w:rsid w:val="007D14BA"/>
    <w:rsid w:val="007D48D2"/>
    <w:rsid w:val="007D7727"/>
    <w:rsid w:val="007E0679"/>
    <w:rsid w:val="007E1D2F"/>
    <w:rsid w:val="007E5B44"/>
    <w:rsid w:val="007F43DB"/>
    <w:rsid w:val="00801AF4"/>
    <w:rsid w:val="008026CF"/>
    <w:rsid w:val="008066FF"/>
    <w:rsid w:val="00810421"/>
    <w:rsid w:val="00810552"/>
    <w:rsid w:val="00811E76"/>
    <w:rsid w:val="00814650"/>
    <w:rsid w:val="00814A9A"/>
    <w:rsid w:val="008171B4"/>
    <w:rsid w:val="0081785F"/>
    <w:rsid w:val="008244D6"/>
    <w:rsid w:val="0082499C"/>
    <w:rsid w:val="008316EE"/>
    <w:rsid w:val="00833ED2"/>
    <w:rsid w:val="008353A9"/>
    <w:rsid w:val="0083685A"/>
    <w:rsid w:val="00836DB7"/>
    <w:rsid w:val="00837297"/>
    <w:rsid w:val="00844092"/>
    <w:rsid w:val="008444A5"/>
    <w:rsid w:val="008451D3"/>
    <w:rsid w:val="00850B35"/>
    <w:rsid w:val="00851184"/>
    <w:rsid w:val="00853184"/>
    <w:rsid w:val="00857DAA"/>
    <w:rsid w:val="00861DAF"/>
    <w:rsid w:val="0087005D"/>
    <w:rsid w:val="008727BE"/>
    <w:rsid w:val="00872F48"/>
    <w:rsid w:val="00873111"/>
    <w:rsid w:val="00880243"/>
    <w:rsid w:val="00883986"/>
    <w:rsid w:val="00884C25"/>
    <w:rsid w:val="00886162"/>
    <w:rsid w:val="0088660F"/>
    <w:rsid w:val="00892E6A"/>
    <w:rsid w:val="008955F7"/>
    <w:rsid w:val="00897D32"/>
    <w:rsid w:val="008A03AA"/>
    <w:rsid w:val="008A0D7B"/>
    <w:rsid w:val="008A1EDB"/>
    <w:rsid w:val="008A6CFF"/>
    <w:rsid w:val="008A766D"/>
    <w:rsid w:val="008B1E32"/>
    <w:rsid w:val="008B2402"/>
    <w:rsid w:val="008B592D"/>
    <w:rsid w:val="008B6637"/>
    <w:rsid w:val="008B6B86"/>
    <w:rsid w:val="008C51CD"/>
    <w:rsid w:val="008C7201"/>
    <w:rsid w:val="008D19B0"/>
    <w:rsid w:val="008D27C5"/>
    <w:rsid w:val="008D59AB"/>
    <w:rsid w:val="008E0540"/>
    <w:rsid w:val="008E0AE2"/>
    <w:rsid w:val="008E156F"/>
    <w:rsid w:val="008E288A"/>
    <w:rsid w:val="008E39FC"/>
    <w:rsid w:val="008E4608"/>
    <w:rsid w:val="008F0FFE"/>
    <w:rsid w:val="008F2136"/>
    <w:rsid w:val="008F2589"/>
    <w:rsid w:val="008F2879"/>
    <w:rsid w:val="008F4531"/>
    <w:rsid w:val="008F7784"/>
    <w:rsid w:val="00900F92"/>
    <w:rsid w:val="009010E6"/>
    <w:rsid w:val="00902FA1"/>
    <w:rsid w:val="00903772"/>
    <w:rsid w:val="00903C80"/>
    <w:rsid w:val="009040DE"/>
    <w:rsid w:val="00912070"/>
    <w:rsid w:val="009124C3"/>
    <w:rsid w:val="00912ABB"/>
    <w:rsid w:val="009210CA"/>
    <w:rsid w:val="00924099"/>
    <w:rsid w:val="00924D66"/>
    <w:rsid w:val="0092664B"/>
    <w:rsid w:val="00926736"/>
    <w:rsid w:val="00926CD9"/>
    <w:rsid w:val="0093035E"/>
    <w:rsid w:val="009364A6"/>
    <w:rsid w:val="00942BAE"/>
    <w:rsid w:val="009432D3"/>
    <w:rsid w:val="00947CFE"/>
    <w:rsid w:val="009521D4"/>
    <w:rsid w:val="00955BB6"/>
    <w:rsid w:val="00956C0F"/>
    <w:rsid w:val="009603C3"/>
    <w:rsid w:val="009603F7"/>
    <w:rsid w:val="00960602"/>
    <w:rsid w:val="00961436"/>
    <w:rsid w:val="00963F7D"/>
    <w:rsid w:val="00964981"/>
    <w:rsid w:val="00966992"/>
    <w:rsid w:val="009700B0"/>
    <w:rsid w:val="009737EA"/>
    <w:rsid w:val="0098218A"/>
    <w:rsid w:val="00983D4F"/>
    <w:rsid w:val="009903C7"/>
    <w:rsid w:val="00995F5E"/>
    <w:rsid w:val="0099623E"/>
    <w:rsid w:val="009968AC"/>
    <w:rsid w:val="009A49D6"/>
    <w:rsid w:val="009A6993"/>
    <w:rsid w:val="009A7387"/>
    <w:rsid w:val="009B4E98"/>
    <w:rsid w:val="009B51DF"/>
    <w:rsid w:val="009B5FA0"/>
    <w:rsid w:val="009B60F5"/>
    <w:rsid w:val="009B7116"/>
    <w:rsid w:val="009C247F"/>
    <w:rsid w:val="009C4020"/>
    <w:rsid w:val="009C405D"/>
    <w:rsid w:val="009C4D2B"/>
    <w:rsid w:val="009C6C10"/>
    <w:rsid w:val="009C70E9"/>
    <w:rsid w:val="009C7B40"/>
    <w:rsid w:val="009D043F"/>
    <w:rsid w:val="009D27CB"/>
    <w:rsid w:val="009D2CE0"/>
    <w:rsid w:val="009D5C9E"/>
    <w:rsid w:val="009E0653"/>
    <w:rsid w:val="009E3DB5"/>
    <w:rsid w:val="009E7536"/>
    <w:rsid w:val="009F24BF"/>
    <w:rsid w:val="009F2A6E"/>
    <w:rsid w:val="009F2C7B"/>
    <w:rsid w:val="009F30C1"/>
    <w:rsid w:val="009F3156"/>
    <w:rsid w:val="009F5E35"/>
    <w:rsid w:val="009F64D3"/>
    <w:rsid w:val="009F7F17"/>
    <w:rsid w:val="00A0669B"/>
    <w:rsid w:val="00A06B9B"/>
    <w:rsid w:val="00A162ED"/>
    <w:rsid w:val="00A2585F"/>
    <w:rsid w:val="00A25BD8"/>
    <w:rsid w:val="00A25F0B"/>
    <w:rsid w:val="00A25F56"/>
    <w:rsid w:val="00A32DFB"/>
    <w:rsid w:val="00A34647"/>
    <w:rsid w:val="00A34A5D"/>
    <w:rsid w:val="00A356EA"/>
    <w:rsid w:val="00A358E3"/>
    <w:rsid w:val="00A36621"/>
    <w:rsid w:val="00A36934"/>
    <w:rsid w:val="00A36E79"/>
    <w:rsid w:val="00A37B41"/>
    <w:rsid w:val="00A37DF3"/>
    <w:rsid w:val="00A439B8"/>
    <w:rsid w:val="00A46A2A"/>
    <w:rsid w:val="00A478FC"/>
    <w:rsid w:val="00A51FD7"/>
    <w:rsid w:val="00A52585"/>
    <w:rsid w:val="00A53FDB"/>
    <w:rsid w:val="00A57A1D"/>
    <w:rsid w:val="00A62AD8"/>
    <w:rsid w:val="00A64460"/>
    <w:rsid w:val="00A665DA"/>
    <w:rsid w:val="00A67B8A"/>
    <w:rsid w:val="00A731D3"/>
    <w:rsid w:val="00A76386"/>
    <w:rsid w:val="00A80666"/>
    <w:rsid w:val="00A81BCC"/>
    <w:rsid w:val="00A87919"/>
    <w:rsid w:val="00A90C29"/>
    <w:rsid w:val="00A947C7"/>
    <w:rsid w:val="00A9677C"/>
    <w:rsid w:val="00AA4945"/>
    <w:rsid w:val="00AA5C41"/>
    <w:rsid w:val="00AA6F84"/>
    <w:rsid w:val="00AB0A8E"/>
    <w:rsid w:val="00AB1A63"/>
    <w:rsid w:val="00AB2C32"/>
    <w:rsid w:val="00AB2D1B"/>
    <w:rsid w:val="00AC05A8"/>
    <w:rsid w:val="00AC13F2"/>
    <w:rsid w:val="00AC31F3"/>
    <w:rsid w:val="00AD09B9"/>
    <w:rsid w:val="00AD5970"/>
    <w:rsid w:val="00AD6FFD"/>
    <w:rsid w:val="00AD7E36"/>
    <w:rsid w:val="00AE00D3"/>
    <w:rsid w:val="00AE2E43"/>
    <w:rsid w:val="00AE39B0"/>
    <w:rsid w:val="00AE3D4E"/>
    <w:rsid w:val="00AF0BAF"/>
    <w:rsid w:val="00AF215A"/>
    <w:rsid w:val="00AF3AC3"/>
    <w:rsid w:val="00B01160"/>
    <w:rsid w:val="00B011D9"/>
    <w:rsid w:val="00B0150E"/>
    <w:rsid w:val="00B026C1"/>
    <w:rsid w:val="00B0385B"/>
    <w:rsid w:val="00B0392D"/>
    <w:rsid w:val="00B0668A"/>
    <w:rsid w:val="00B11955"/>
    <w:rsid w:val="00B12F32"/>
    <w:rsid w:val="00B132A3"/>
    <w:rsid w:val="00B2578A"/>
    <w:rsid w:val="00B25E85"/>
    <w:rsid w:val="00B312E8"/>
    <w:rsid w:val="00B35B77"/>
    <w:rsid w:val="00B40164"/>
    <w:rsid w:val="00B420D7"/>
    <w:rsid w:val="00B42D02"/>
    <w:rsid w:val="00B4471D"/>
    <w:rsid w:val="00B45CB4"/>
    <w:rsid w:val="00B467B8"/>
    <w:rsid w:val="00B46C8D"/>
    <w:rsid w:val="00B52A06"/>
    <w:rsid w:val="00B53DDE"/>
    <w:rsid w:val="00B564C2"/>
    <w:rsid w:val="00B56759"/>
    <w:rsid w:val="00B608E6"/>
    <w:rsid w:val="00B63A18"/>
    <w:rsid w:val="00B64EE1"/>
    <w:rsid w:val="00B65273"/>
    <w:rsid w:val="00B67E83"/>
    <w:rsid w:val="00B7009A"/>
    <w:rsid w:val="00B71E85"/>
    <w:rsid w:val="00B73CDD"/>
    <w:rsid w:val="00B74298"/>
    <w:rsid w:val="00B75E6C"/>
    <w:rsid w:val="00B765C6"/>
    <w:rsid w:val="00B81E33"/>
    <w:rsid w:val="00B81F79"/>
    <w:rsid w:val="00B82ACB"/>
    <w:rsid w:val="00B8519A"/>
    <w:rsid w:val="00B916C6"/>
    <w:rsid w:val="00B91808"/>
    <w:rsid w:val="00B91B61"/>
    <w:rsid w:val="00B91FA8"/>
    <w:rsid w:val="00B96383"/>
    <w:rsid w:val="00B97385"/>
    <w:rsid w:val="00BA117D"/>
    <w:rsid w:val="00BA24EB"/>
    <w:rsid w:val="00BA3B3D"/>
    <w:rsid w:val="00BB099D"/>
    <w:rsid w:val="00BB3CA4"/>
    <w:rsid w:val="00BB6D77"/>
    <w:rsid w:val="00BC28EC"/>
    <w:rsid w:val="00BC53DD"/>
    <w:rsid w:val="00BD0237"/>
    <w:rsid w:val="00BD0773"/>
    <w:rsid w:val="00BD10E5"/>
    <w:rsid w:val="00BD3689"/>
    <w:rsid w:val="00BD44FD"/>
    <w:rsid w:val="00BD7429"/>
    <w:rsid w:val="00BE2CFD"/>
    <w:rsid w:val="00BE64B2"/>
    <w:rsid w:val="00BE7038"/>
    <w:rsid w:val="00BE745D"/>
    <w:rsid w:val="00BF2361"/>
    <w:rsid w:val="00BF35B0"/>
    <w:rsid w:val="00BF544B"/>
    <w:rsid w:val="00BF55C5"/>
    <w:rsid w:val="00C028D1"/>
    <w:rsid w:val="00C03016"/>
    <w:rsid w:val="00C0534F"/>
    <w:rsid w:val="00C06D1A"/>
    <w:rsid w:val="00C106B8"/>
    <w:rsid w:val="00C116D2"/>
    <w:rsid w:val="00C139E2"/>
    <w:rsid w:val="00C1552E"/>
    <w:rsid w:val="00C1625F"/>
    <w:rsid w:val="00C16881"/>
    <w:rsid w:val="00C20F73"/>
    <w:rsid w:val="00C2284F"/>
    <w:rsid w:val="00C22850"/>
    <w:rsid w:val="00C2613D"/>
    <w:rsid w:val="00C2630A"/>
    <w:rsid w:val="00C2690E"/>
    <w:rsid w:val="00C27410"/>
    <w:rsid w:val="00C31641"/>
    <w:rsid w:val="00C31AA4"/>
    <w:rsid w:val="00C362E7"/>
    <w:rsid w:val="00C36F88"/>
    <w:rsid w:val="00C43D86"/>
    <w:rsid w:val="00C45E9B"/>
    <w:rsid w:val="00C46AF3"/>
    <w:rsid w:val="00C5627E"/>
    <w:rsid w:val="00C575BB"/>
    <w:rsid w:val="00C57D3E"/>
    <w:rsid w:val="00C60B43"/>
    <w:rsid w:val="00C60C95"/>
    <w:rsid w:val="00C61D17"/>
    <w:rsid w:val="00C63949"/>
    <w:rsid w:val="00C65577"/>
    <w:rsid w:val="00C678A9"/>
    <w:rsid w:val="00C712E1"/>
    <w:rsid w:val="00C73E72"/>
    <w:rsid w:val="00C80455"/>
    <w:rsid w:val="00C80FAD"/>
    <w:rsid w:val="00C81E4A"/>
    <w:rsid w:val="00C82E54"/>
    <w:rsid w:val="00C83612"/>
    <w:rsid w:val="00C92F9C"/>
    <w:rsid w:val="00C942C1"/>
    <w:rsid w:val="00C952F3"/>
    <w:rsid w:val="00C956DD"/>
    <w:rsid w:val="00C976D0"/>
    <w:rsid w:val="00C97AD4"/>
    <w:rsid w:val="00CA0225"/>
    <w:rsid w:val="00CA4240"/>
    <w:rsid w:val="00CA42A9"/>
    <w:rsid w:val="00CA5B88"/>
    <w:rsid w:val="00CA714E"/>
    <w:rsid w:val="00CB0725"/>
    <w:rsid w:val="00CB3870"/>
    <w:rsid w:val="00CB3BC8"/>
    <w:rsid w:val="00CB489E"/>
    <w:rsid w:val="00CB4A4C"/>
    <w:rsid w:val="00CB6C1C"/>
    <w:rsid w:val="00CB7180"/>
    <w:rsid w:val="00CB7D74"/>
    <w:rsid w:val="00CC02FA"/>
    <w:rsid w:val="00CC253C"/>
    <w:rsid w:val="00CC28BA"/>
    <w:rsid w:val="00CC4B09"/>
    <w:rsid w:val="00CC69EA"/>
    <w:rsid w:val="00CD1DBD"/>
    <w:rsid w:val="00CD2538"/>
    <w:rsid w:val="00CD2A36"/>
    <w:rsid w:val="00CD52D4"/>
    <w:rsid w:val="00CD5436"/>
    <w:rsid w:val="00CD621A"/>
    <w:rsid w:val="00CD648F"/>
    <w:rsid w:val="00CD7DD8"/>
    <w:rsid w:val="00CE3509"/>
    <w:rsid w:val="00CE4F63"/>
    <w:rsid w:val="00CE50AA"/>
    <w:rsid w:val="00CE525B"/>
    <w:rsid w:val="00CF3A9C"/>
    <w:rsid w:val="00CF740B"/>
    <w:rsid w:val="00D00564"/>
    <w:rsid w:val="00D0278F"/>
    <w:rsid w:val="00D0542E"/>
    <w:rsid w:val="00D07D7A"/>
    <w:rsid w:val="00D12DDE"/>
    <w:rsid w:val="00D131F8"/>
    <w:rsid w:val="00D15FBA"/>
    <w:rsid w:val="00D217EE"/>
    <w:rsid w:val="00D23B58"/>
    <w:rsid w:val="00D2602C"/>
    <w:rsid w:val="00D2744A"/>
    <w:rsid w:val="00D30D42"/>
    <w:rsid w:val="00D40023"/>
    <w:rsid w:val="00D403C4"/>
    <w:rsid w:val="00D432E1"/>
    <w:rsid w:val="00D43700"/>
    <w:rsid w:val="00D4372A"/>
    <w:rsid w:val="00D44577"/>
    <w:rsid w:val="00D44D6B"/>
    <w:rsid w:val="00D47DCF"/>
    <w:rsid w:val="00D60849"/>
    <w:rsid w:val="00D61F38"/>
    <w:rsid w:val="00D62F07"/>
    <w:rsid w:val="00D64D6B"/>
    <w:rsid w:val="00D74649"/>
    <w:rsid w:val="00D756E0"/>
    <w:rsid w:val="00D76C77"/>
    <w:rsid w:val="00D820FE"/>
    <w:rsid w:val="00D84458"/>
    <w:rsid w:val="00D85036"/>
    <w:rsid w:val="00D85C26"/>
    <w:rsid w:val="00D86ED7"/>
    <w:rsid w:val="00D930E0"/>
    <w:rsid w:val="00DA0169"/>
    <w:rsid w:val="00DA434F"/>
    <w:rsid w:val="00DA7E10"/>
    <w:rsid w:val="00DB1290"/>
    <w:rsid w:val="00DB13D9"/>
    <w:rsid w:val="00DB68EF"/>
    <w:rsid w:val="00DC1094"/>
    <w:rsid w:val="00DC1F50"/>
    <w:rsid w:val="00DC2CCF"/>
    <w:rsid w:val="00DC45E6"/>
    <w:rsid w:val="00DC53A4"/>
    <w:rsid w:val="00DC565C"/>
    <w:rsid w:val="00DD0719"/>
    <w:rsid w:val="00DD5164"/>
    <w:rsid w:val="00DE0671"/>
    <w:rsid w:val="00DE4994"/>
    <w:rsid w:val="00DE6D42"/>
    <w:rsid w:val="00DE7BE3"/>
    <w:rsid w:val="00DF1825"/>
    <w:rsid w:val="00DF1C3E"/>
    <w:rsid w:val="00DF34DB"/>
    <w:rsid w:val="00DF6CF7"/>
    <w:rsid w:val="00DF7D9D"/>
    <w:rsid w:val="00E02B08"/>
    <w:rsid w:val="00E02FCF"/>
    <w:rsid w:val="00E043BC"/>
    <w:rsid w:val="00E058FA"/>
    <w:rsid w:val="00E06C4F"/>
    <w:rsid w:val="00E10093"/>
    <w:rsid w:val="00E11202"/>
    <w:rsid w:val="00E149EF"/>
    <w:rsid w:val="00E152F4"/>
    <w:rsid w:val="00E15DFA"/>
    <w:rsid w:val="00E23730"/>
    <w:rsid w:val="00E26D9D"/>
    <w:rsid w:val="00E30E4E"/>
    <w:rsid w:val="00E31428"/>
    <w:rsid w:val="00E33506"/>
    <w:rsid w:val="00E35041"/>
    <w:rsid w:val="00E35649"/>
    <w:rsid w:val="00E36E99"/>
    <w:rsid w:val="00E37AFF"/>
    <w:rsid w:val="00E41CAB"/>
    <w:rsid w:val="00E42DEF"/>
    <w:rsid w:val="00E43A04"/>
    <w:rsid w:val="00E4734B"/>
    <w:rsid w:val="00E508A1"/>
    <w:rsid w:val="00E52865"/>
    <w:rsid w:val="00E5353C"/>
    <w:rsid w:val="00E56B3B"/>
    <w:rsid w:val="00E6354B"/>
    <w:rsid w:val="00E6436B"/>
    <w:rsid w:val="00E64E7B"/>
    <w:rsid w:val="00E65E99"/>
    <w:rsid w:val="00E66A1F"/>
    <w:rsid w:val="00E722FC"/>
    <w:rsid w:val="00E725CD"/>
    <w:rsid w:val="00E72910"/>
    <w:rsid w:val="00E7388D"/>
    <w:rsid w:val="00E7781A"/>
    <w:rsid w:val="00E842B2"/>
    <w:rsid w:val="00E84D28"/>
    <w:rsid w:val="00E8644F"/>
    <w:rsid w:val="00E87538"/>
    <w:rsid w:val="00E90936"/>
    <w:rsid w:val="00E95D07"/>
    <w:rsid w:val="00EA0744"/>
    <w:rsid w:val="00EA1A22"/>
    <w:rsid w:val="00EA2E36"/>
    <w:rsid w:val="00EB004A"/>
    <w:rsid w:val="00EB6C22"/>
    <w:rsid w:val="00EC05FA"/>
    <w:rsid w:val="00EC0E5B"/>
    <w:rsid w:val="00EC16CA"/>
    <w:rsid w:val="00EC3FC7"/>
    <w:rsid w:val="00EC4C0F"/>
    <w:rsid w:val="00EC564C"/>
    <w:rsid w:val="00ED0383"/>
    <w:rsid w:val="00ED13FC"/>
    <w:rsid w:val="00ED5D07"/>
    <w:rsid w:val="00ED66C2"/>
    <w:rsid w:val="00ED784E"/>
    <w:rsid w:val="00EE08AA"/>
    <w:rsid w:val="00EE500D"/>
    <w:rsid w:val="00EE6579"/>
    <w:rsid w:val="00EF109E"/>
    <w:rsid w:val="00F01C13"/>
    <w:rsid w:val="00F05E7E"/>
    <w:rsid w:val="00F06A40"/>
    <w:rsid w:val="00F06AF3"/>
    <w:rsid w:val="00F117E5"/>
    <w:rsid w:val="00F1692E"/>
    <w:rsid w:val="00F16AD8"/>
    <w:rsid w:val="00F16B24"/>
    <w:rsid w:val="00F2156E"/>
    <w:rsid w:val="00F26692"/>
    <w:rsid w:val="00F30F4B"/>
    <w:rsid w:val="00F319F9"/>
    <w:rsid w:val="00F33FDE"/>
    <w:rsid w:val="00F401B8"/>
    <w:rsid w:val="00F41B20"/>
    <w:rsid w:val="00F44C41"/>
    <w:rsid w:val="00F45912"/>
    <w:rsid w:val="00F4627B"/>
    <w:rsid w:val="00F4669C"/>
    <w:rsid w:val="00F46970"/>
    <w:rsid w:val="00F47AE8"/>
    <w:rsid w:val="00F50060"/>
    <w:rsid w:val="00F500E5"/>
    <w:rsid w:val="00F507EC"/>
    <w:rsid w:val="00F5322F"/>
    <w:rsid w:val="00F53259"/>
    <w:rsid w:val="00F53974"/>
    <w:rsid w:val="00F54DC7"/>
    <w:rsid w:val="00F65179"/>
    <w:rsid w:val="00F729F4"/>
    <w:rsid w:val="00F745F1"/>
    <w:rsid w:val="00F7548F"/>
    <w:rsid w:val="00F75513"/>
    <w:rsid w:val="00F7684B"/>
    <w:rsid w:val="00F83EDF"/>
    <w:rsid w:val="00F84131"/>
    <w:rsid w:val="00F86470"/>
    <w:rsid w:val="00F908E8"/>
    <w:rsid w:val="00F90EA4"/>
    <w:rsid w:val="00F94072"/>
    <w:rsid w:val="00F97F6C"/>
    <w:rsid w:val="00FA2986"/>
    <w:rsid w:val="00FA3321"/>
    <w:rsid w:val="00FA3EE2"/>
    <w:rsid w:val="00FA51A3"/>
    <w:rsid w:val="00FA5C1F"/>
    <w:rsid w:val="00FA6F79"/>
    <w:rsid w:val="00FB12F4"/>
    <w:rsid w:val="00FB2B32"/>
    <w:rsid w:val="00FB2C6D"/>
    <w:rsid w:val="00FB2F4E"/>
    <w:rsid w:val="00FB5299"/>
    <w:rsid w:val="00FB646A"/>
    <w:rsid w:val="00FB6BFF"/>
    <w:rsid w:val="00FC0831"/>
    <w:rsid w:val="00FC0E90"/>
    <w:rsid w:val="00FC1492"/>
    <w:rsid w:val="00FC6BFE"/>
    <w:rsid w:val="00FD104D"/>
    <w:rsid w:val="00FD4F62"/>
    <w:rsid w:val="00FD6810"/>
    <w:rsid w:val="00FE08B9"/>
    <w:rsid w:val="00FE0EDF"/>
    <w:rsid w:val="00FE0F67"/>
    <w:rsid w:val="00FE5A83"/>
    <w:rsid w:val="00FE6BF8"/>
    <w:rsid w:val="00FF10B6"/>
    <w:rsid w:val="00FF235F"/>
    <w:rsid w:val="00FF6089"/>
    <w:rsid w:val="00FF7E4A"/>
    <w:rsid w:val="016823AF"/>
    <w:rsid w:val="03580109"/>
    <w:rsid w:val="037A3B41"/>
    <w:rsid w:val="03867954"/>
    <w:rsid w:val="05CB04ED"/>
    <w:rsid w:val="06D43123"/>
    <w:rsid w:val="076E6040"/>
    <w:rsid w:val="085041EF"/>
    <w:rsid w:val="095216D9"/>
    <w:rsid w:val="09BA0456"/>
    <w:rsid w:val="09CA5EA0"/>
    <w:rsid w:val="0B20514C"/>
    <w:rsid w:val="0C5919D1"/>
    <w:rsid w:val="0CF74598"/>
    <w:rsid w:val="0DCD3AB1"/>
    <w:rsid w:val="10D80231"/>
    <w:rsid w:val="1122192A"/>
    <w:rsid w:val="11E960B5"/>
    <w:rsid w:val="13045342"/>
    <w:rsid w:val="130C6ECC"/>
    <w:rsid w:val="131A74E6"/>
    <w:rsid w:val="131F00EB"/>
    <w:rsid w:val="136321F3"/>
    <w:rsid w:val="13D92D9C"/>
    <w:rsid w:val="13EA0AB8"/>
    <w:rsid w:val="14A04D63"/>
    <w:rsid w:val="14B74989"/>
    <w:rsid w:val="14B8240A"/>
    <w:rsid w:val="14E51FD5"/>
    <w:rsid w:val="14FE0980"/>
    <w:rsid w:val="15535E8C"/>
    <w:rsid w:val="16822CFB"/>
    <w:rsid w:val="16E21E1B"/>
    <w:rsid w:val="16EF7387"/>
    <w:rsid w:val="1706617A"/>
    <w:rsid w:val="17834838"/>
    <w:rsid w:val="18D13844"/>
    <w:rsid w:val="1A41499F"/>
    <w:rsid w:val="1AB66E72"/>
    <w:rsid w:val="1ADF35A4"/>
    <w:rsid w:val="1B196C01"/>
    <w:rsid w:val="1D586233"/>
    <w:rsid w:val="1D6E4A05"/>
    <w:rsid w:val="1DB4564C"/>
    <w:rsid w:val="1E786C04"/>
    <w:rsid w:val="1F79042F"/>
    <w:rsid w:val="20914115"/>
    <w:rsid w:val="20967902"/>
    <w:rsid w:val="20AD7527"/>
    <w:rsid w:val="20DA4B74"/>
    <w:rsid w:val="21C173F0"/>
    <w:rsid w:val="23AE0A31"/>
    <w:rsid w:val="23F92512"/>
    <w:rsid w:val="25624CBE"/>
    <w:rsid w:val="27135C28"/>
    <w:rsid w:val="27D172E0"/>
    <w:rsid w:val="289E31B0"/>
    <w:rsid w:val="2990183F"/>
    <w:rsid w:val="29C0458C"/>
    <w:rsid w:val="29DC643B"/>
    <w:rsid w:val="2AF74609"/>
    <w:rsid w:val="2AFB07AC"/>
    <w:rsid w:val="2CD27351"/>
    <w:rsid w:val="2D012C77"/>
    <w:rsid w:val="2D69660C"/>
    <w:rsid w:val="2E0D01AD"/>
    <w:rsid w:val="30A06F5B"/>
    <w:rsid w:val="31B3151A"/>
    <w:rsid w:val="327127D7"/>
    <w:rsid w:val="32CA0CE2"/>
    <w:rsid w:val="330E4C4E"/>
    <w:rsid w:val="358643DE"/>
    <w:rsid w:val="35895362"/>
    <w:rsid w:val="366719B2"/>
    <w:rsid w:val="367252E0"/>
    <w:rsid w:val="37846BFD"/>
    <w:rsid w:val="378833EB"/>
    <w:rsid w:val="37A61E5A"/>
    <w:rsid w:val="38DF0C5D"/>
    <w:rsid w:val="39ED5597"/>
    <w:rsid w:val="3A625555"/>
    <w:rsid w:val="3BDC3476"/>
    <w:rsid w:val="3C1D582B"/>
    <w:rsid w:val="3E6E72FA"/>
    <w:rsid w:val="4059577F"/>
    <w:rsid w:val="41ED5FB7"/>
    <w:rsid w:val="441A0B4A"/>
    <w:rsid w:val="444C6AF1"/>
    <w:rsid w:val="484636CE"/>
    <w:rsid w:val="484A0BFA"/>
    <w:rsid w:val="491846CB"/>
    <w:rsid w:val="49310822"/>
    <w:rsid w:val="4C82117A"/>
    <w:rsid w:val="4D426A4E"/>
    <w:rsid w:val="4E7008D8"/>
    <w:rsid w:val="4F2C1DF1"/>
    <w:rsid w:val="4F2E52F4"/>
    <w:rsid w:val="5035135F"/>
    <w:rsid w:val="519707E9"/>
    <w:rsid w:val="519D54AE"/>
    <w:rsid w:val="52016097"/>
    <w:rsid w:val="528278EA"/>
    <w:rsid w:val="52EE0DA3"/>
    <w:rsid w:val="53745F79"/>
    <w:rsid w:val="53E606B2"/>
    <w:rsid w:val="53E917BB"/>
    <w:rsid w:val="55506783"/>
    <w:rsid w:val="575879D8"/>
    <w:rsid w:val="57A52C26"/>
    <w:rsid w:val="58E41B62"/>
    <w:rsid w:val="59735744"/>
    <w:rsid w:val="59872915"/>
    <w:rsid w:val="59BA08C1"/>
    <w:rsid w:val="5A4937ED"/>
    <w:rsid w:val="5AC64DF3"/>
    <w:rsid w:val="5B9E26E1"/>
    <w:rsid w:val="5BB7586B"/>
    <w:rsid w:val="5CE772FA"/>
    <w:rsid w:val="5D8D7008"/>
    <w:rsid w:val="5DDA5CC5"/>
    <w:rsid w:val="5E0559CD"/>
    <w:rsid w:val="5E4850F9"/>
    <w:rsid w:val="5E687C70"/>
    <w:rsid w:val="5E894799"/>
    <w:rsid w:val="5F387044"/>
    <w:rsid w:val="5F463DDB"/>
    <w:rsid w:val="61631912"/>
    <w:rsid w:val="63626EA6"/>
    <w:rsid w:val="655D4CDA"/>
    <w:rsid w:val="65CD0811"/>
    <w:rsid w:val="6700790A"/>
    <w:rsid w:val="67CD37DA"/>
    <w:rsid w:val="68FB264A"/>
    <w:rsid w:val="6A0A2D85"/>
    <w:rsid w:val="6B5862AA"/>
    <w:rsid w:val="6B8F6404"/>
    <w:rsid w:val="6BCF6B89"/>
    <w:rsid w:val="6BE1298B"/>
    <w:rsid w:val="6C25217A"/>
    <w:rsid w:val="6C703C63"/>
    <w:rsid w:val="6CBA3590"/>
    <w:rsid w:val="6CC56480"/>
    <w:rsid w:val="6E2F12D6"/>
    <w:rsid w:val="706630F4"/>
    <w:rsid w:val="70685F4A"/>
    <w:rsid w:val="719A52F9"/>
    <w:rsid w:val="71CF5DF0"/>
    <w:rsid w:val="72047744"/>
    <w:rsid w:val="723C5FB7"/>
    <w:rsid w:val="738D4B84"/>
    <w:rsid w:val="746971F0"/>
    <w:rsid w:val="75F0310B"/>
    <w:rsid w:val="765F75BE"/>
    <w:rsid w:val="76CE7275"/>
    <w:rsid w:val="77850FA2"/>
    <w:rsid w:val="78600B26"/>
    <w:rsid w:val="79DC6531"/>
    <w:rsid w:val="7A390C79"/>
    <w:rsid w:val="7A427BA1"/>
    <w:rsid w:val="7CB62248"/>
    <w:rsid w:val="7D751CB9"/>
    <w:rsid w:val="7D817FF3"/>
    <w:rsid w:val="7D8C3E06"/>
    <w:rsid w:val="7E1B01F2"/>
    <w:rsid w:val="7E2A2A0B"/>
    <w:rsid w:val="7E774C09"/>
    <w:rsid w:val="7EE37C3B"/>
    <w:rsid w:val="7F6D0623"/>
    <w:rsid w:val="7F7E59EA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paragraph" w:styleId="4">
    <w:name w:val="heading 3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/>
      <w:b/>
      <w:bCs/>
      <w:sz w:val="28"/>
      <w:szCs w:val="28"/>
    </w:rPr>
  </w:style>
  <w:style w:type="paragraph" w:styleId="6">
    <w:name w:val="heading 5"/>
    <w:basedOn w:val="1"/>
    <w:next w:val="1"/>
    <w:link w:val="3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0">
    <w:name w:val="Default Paragraph Font"/>
    <w:unhideWhenUsed/>
    <w:uiPriority w:val="1"/>
  </w:style>
  <w:style w:type="table" w:default="1" w:styleId="23">
    <w:name w:val="Normal Table"/>
    <w:unhideWhenUsed/>
    <w:uiPriority w:val="99"/>
    <w:tblPr>
      <w:tblStyle w:val="23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7">
    <w:name w:val="toc 7"/>
    <w:basedOn w:val="1"/>
    <w:next w:val="1"/>
    <w:unhideWhenUsed/>
    <w:uiPriority w:val="39"/>
    <w:pPr>
      <w:ind w:left="2520" w:leftChars="1200"/>
    </w:pPr>
  </w:style>
  <w:style w:type="paragraph" w:styleId="8">
    <w:name w:val="Body Text"/>
    <w:basedOn w:val="1"/>
    <w:unhideWhenUsed/>
    <w:uiPriority w:val="0"/>
    <w:pPr>
      <w:spacing w:line="360" w:lineRule="auto"/>
    </w:pPr>
    <w:rPr>
      <w:rFonts w:ascii="楷体_GB2312" w:eastAsia="楷体_GB2312"/>
      <w:sz w:val="24"/>
    </w:rPr>
  </w:style>
  <w:style w:type="paragraph" w:styleId="9">
    <w:name w:val="toc 5"/>
    <w:basedOn w:val="1"/>
    <w:next w:val="1"/>
    <w:unhideWhenUsed/>
    <w:uiPriority w:val="39"/>
    <w:pPr>
      <w:ind w:left="1680" w:leftChars="800"/>
    </w:p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toc 8"/>
    <w:basedOn w:val="1"/>
    <w:next w:val="1"/>
    <w:unhideWhenUsed/>
    <w:uiPriority w:val="39"/>
    <w:pPr>
      <w:ind w:left="2940" w:leftChars="1400"/>
    </w:pPr>
  </w:style>
  <w:style w:type="paragraph" w:styleId="12">
    <w:name w:val="Balloon Text"/>
    <w:basedOn w:val="1"/>
    <w:link w:val="26"/>
    <w:unhideWhenUsed/>
    <w:uiPriority w:val="99"/>
    <w:rPr>
      <w:sz w:val="18"/>
      <w:szCs w:val="18"/>
    </w:rPr>
  </w:style>
  <w:style w:type="paragraph" w:styleId="13">
    <w:name w:val="foot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4"/>
    <w:basedOn w:val="1"/>
    <w:next w:val="1"/>
    <w:unhideWhenUsed/>
    <w:uiPriority w:val="39"/>
    <w:pPr>
      <w:ind w:left="1260" w:leftChars="600"/>
    </w:pPr>
  </w:style>
  <w:style w:type="paragraph" w:styleId="17">
    <w:name w:val="toc 6"/>
    <w:basedOn w:val="1"/>
    <w:next w:val="1"/>
    <w:unhideWhenUsed/>
    <w:uiPriority w:val="39"/>
    <w:pPr>
      <w:ind w:left="2100" w:leftChars="1000"/>
    </w:pPr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toc 9"/>
    <w:basedOn w:val="1"/>
    <w:next w:val="1"/>
    <w:unhideWhenUsed/>
    <w:uiPriority w:val="39"/>
    <w:pPr>
      <w:ind w:left="3360" w:leftChars="1600"/>
    </w:pPr>
  </w:style>
  <w:style w:type="character" w:styleId="21">
    <w:name w:val="page number"/>
    <w:unhideWhenUs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styleId="22">
    <w:name w:val="Hyperlink"/>
    <w:basedOn w:val="20"/>
    <w:unhideWhenUsed/>
    <w:uiPriority w:val="99"/>
    <w:rPr>
      <w:color w:val="0000FF"/>
      <w:u w:val="single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0"/>
      <w:kern w:val="0"/>
      <w:sz w:val="28"/>
      <w:szCs w:val="28"/>
    </w:rPr>
  </w:style>
  <w:style w:type="character" w:customStyle="1" w:styleId="25">
    <w:name w:val="fontstyle01"/>
    <w:basedOn w:val="20"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26">
    <w:name w:val="批注框文本 Char"/>
    <w:basedOn w:val="20"/>
    <w:link w:val="12"/>
    <w:semiHidden/>
    <w:uiPriority w:val="99"/>
    <w:rPr>
      <w:sz w:val="18"/>
      <w:szCs w:val="18"/>
    </w:rPr>
  </w:style>
  <w:style w:type="character" w:customStyle="1" w:styleId="27">
    <w:name w:val="fontstyle21"/>
    <w:basedOn w:val="20"/>
    <w:uiPriority w:val="0"/>
    <w:rPr>
      <w:rFonts w:hint="default" w:ascii="Calibri" w:hAnsi="Calibri" w:cs="Calibri"/>
      <w:color w:val="000000"/>
      <w:sz w:val="28"/>
      <w:szCs w:val="28"/>
    </w:rPr>
  </w:style>
  <w:style w:type="character" w:customStyle="1" w:styleId="28">
    <w:name w:val="fontstyle11"/>
    <w:basedOn w:val="20"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29">
    <w:name w:val="标题 1 Char"/>
    <w:basedOn w:val="20"/>
    <w:link w:val="2"/>
    <w:uiPriority w:val="9"/>
    <w:rPr>
      <w:b/>
      <w:bCs/>
      <w:kern w:val="44"/>
      <w:sz w:val="44"/>
      <w:szCs w:val="44"/>
    </w:rPr>
  </w:style>
  <w:style w:type="character" w:customStyle="1" w:styleId="30">
    <w:name w:val="标题 2 Char"/>
    <w:basedOn w:val="20"/>
    <w:link w:val="3"/>
    <w:uiPriority w:val="9"/>
    <w:rPr>
      <w:rFonts w:ascii="Cambria" w:hAnsi="Cambria" w:eastAsia="宋体"/>
      <w:b/>
      <w:bCs/>
      <w:sz w:val="32"/>
      <w:szCs w:val="32"/>
    </w:rPr>
  </w:style>
  <w:style w:type="character" w:customStyle="1" w:styleId="31">
    <w:name w:val="标题 3 Char"/>
    <w:basedOn w:val="20"/>
    <w:link w:val="4"/>
    <w:uiPriority w:val="9"/>
    <w:rPr>
      <w:b/>
      <w:bCs/>
      <w:sz w:val="32"/>
      <w:szCs w:val="32"/>
    </w:rPr>
  </w:style>
  <w:style w:type="character" w:customStyle="1" w:styleId="32">
    <w:name w:val="标题 4 Char"/>
    <w:basedOn w:val="20"/>
    <w:link w:val="5"/>
    <w:uiPriority w:val="9"/>
    <w:rPr>
      <w:rFonts w:ascii="Cambria" w:hAnsi="Cambria" w:eastAsia="宋体"/>
      <w:b/>
      <w:bCs/>
      <w:sz w:val="28"/>
      <w:szCs w:val="28"/>
    </w:rPr>
  </w:style>
  <w:style w:type="character" w:customStyle="1" w:styleId="33">
    <w:name w:val="标题 5 Char"/>
    <w:basedOn w:val="20"/>
    <w:link w:val="6"/>
    <w:uiPriority w:val="9"/>
    <w:rPr>
      <w:b/>
      <w:bCs/>
      <w:sz w:val="28"/>
      <w:szCs w:val="28"/>
    </w:rPr>
  </w:style>
  <w:style w:type="character" w:customStyle="1" w:styleId="34">
    <w:name w:val="页眉 Char"/>
    <w:basedOn w:val="20"/>
    <w:link w:val="14"/>
    <w:uiPriority w:val="99"/>
    <w:rPr>
      <w:sz w:val="18"/>
      <w:szCs w:val="18"/>
    </w:rPr>
  </w:style>
  <w:style w:type="character" w:customStyle="1" w:styleId="35">
    <w:name w:val="页脚 Char"/>
    <w:basedOn w:val="20"/>
    <w:link w:val="1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settings" Target="setting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1762</Words>
  <Characters>10046</Characters>
  <Lines>83</Lines>
  <Paragraphs>23</Paragraphs>
  <ScaleCrop>false</ScaleCrop>
  <LinksUpToDate>false</LinksUpToDate>
  <CharactersWithSpaces>0</CharactersWithSpaces>
  <Application>WPS Office 专业版_9.1.0.4833_{F1E327BC-269C-435d-A152-05C5408002CA}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2021-08-14T07:47:00Z</dcterms:created>
  <dc:creator>A</dc:creator>
  <cp:lastModifiedBy>JXJ</cp:lastModifiedBy>
  <cp:lastPrinted>2021-09-23T07:55:00Z</cp:lastPrinted>
  <dcterms:modified xsi:type="dcterms:W3CDTF">2021-10-10T02:15:01Z</dcterms:modified>
  <dc:title>陕西省住房公积金综合服务平台_x000B_单位网厅操作手册(单位版)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2052-9.1.0.4833</vt:lpwstr>
  </property>
</Properties>
</file>